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FAC" w:rsidRDefault="00103FAC">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3195607</wp:posOffset>
                </wp:positionH>
                <wp:positionV relativeFrom="paragraph">
                  <wp:posOffset>-317234</wp:posOffset>
                </wp:positionV>
                <wp:extent cx="3370006" cy="2212258"/>
                <wp:effectExtent l="0" t="0" r="20955" b="17145"/>
                <wp:wrapNone/>
                <wp:docPr id="2" name="Casella di testo 2"/>
                <wp:cNvGraphicFramePr/>
                <a:graphic xmlns:a="http://schemas.openxmlformats.org/drawingml/2006/main">
                  <a:graphicData uri="http://schemas.microsoft.com/office/word/2010/wordprocessingShape">
                    <wps:wsp>
                      <wps:cNvSpPr txBox="1"/>
                      <wps:spPr>
                        <a:xfrm>
                          <a:off x="0" y="0"/>
                          <a:ext cx="3370006" cy="2212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FAC" w:rsidRDefault="00103FAC">
                            <w:r>
                              <w:t>Stato: Ciad</w:t>
                            </w:r>
                          </w:p>
                          <w:p w:rsidR="00103FAC" w:rsidRDefault="00103FAC">
                            <w:r>
                              <w:t>sistema politico: repubblica presidenziale</w:t>
                            </w:r>
                          </w:p>
                          <w:p w:rsidR="00103FAC" w:rsidRDefault="00103FAC">
                            <w:r>
                              <w:t>lingue ufficiali: francese, arabo</w:t>
                            </w:r>
                          </w:p>
                          <w:p w:rsidR="00B82115" w:rsidRDefault="00B82115">
                            <w:r>
                              <w:t>capitale: N’Djamena</w:t>
                            </w:r>
                          </w:p>
                          <w:p w:rsidR="00103FAC" w:rsidRDefault="00103FAC">
                            <w:r>
                              <w:t>popolazione: 11.412.107 abitanti (2013)</w:t>
                            </w:r>
                          </w:p>
                          <w:p w:rsidR="00103FAC" w:rsidRDefault="00103FAC">
                            <w:r>
                              <w:t>superficie: 1.284.000 km2</w:t>
                            </w:r>
                          </w:p>
                          <w:p w:rsidR="00103FAC" w:rsidRDefault="00103FAC">
                            <w:r>
                              <w:t>moneta: franco CFA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51.6pt;margin-top:-25pt;width:265.35pt;height:17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" fillcolor="white [3201]" strokeweight=".5pt">
                <v:textbox>
                  <w:txbxContent>
                    <w:p w:rsidR="00103FAC" w:rsidRDefault="00103FAC">
                      <w:r>
                        <w:t>Stato: Ciad</w:t>
                      </w:r>
                    </w:p>
                    <w:p w:rsidR="00103FAC" w:rsidRDefault="00103FAC">
                      <w:r>
                        <w:t>sistema politico: repubblica presidenziale</w:t>
                      </w:r>
                    </w:p>
                    <w:p w:rsidR="00103FAC" w:rsidRDefault="00103FAC">
                      <w:r>
                        <w:t>lingue ufficiali: francese, arabo</w:t>
                      </w:r>
                    </w:p>
                    <w:p w:rsidR="00B82115" w:rsidRDefault="00B82115">
                      <w:r>
                        <w:t>capitale: N’Djamena</w:t>
                      </w:r>
                    </w:p>
                    <w:p w:rsidR="00103FAC" w:rsidRDefault="00103FAC">
                      <w:r>
                        <w:t>popolazione: 11.412.107 abitanti (2013)</w:t>
                      </w:r>
                    </w:p>
                    <w:p w:rsidR="00103FAC" w:rsidRDefault="00103FAC">
                      <w:r>
                        <w:t>superficie: 1.284.000 km2</w:t>
                      </w:r>
                    </w:p>
                    <w:p w:rsidR="00103FAC" w:rsidRDefault="00103FAC">
                      <w:r>
                        <w:t>moneta: franco CFA</w:t>
                      </w:r>
                    </w:p>
                  </w:txbxContent>
                </v:textbox>
              </v:shape>
            </w:pict>
          </mc:Fallback>
        </mc:AlternateContent>
      </w:r>
      <w:r w:rsidR="00AB7682">
        <w:rPr>
          <w:noProof/>
          <w:lang w:eastAsia="it-IT"/>
        </w:rPr>
        <w:drawing>
          <wp:inline distT="0" distB="0" distL="0" distR="0">
            <wp:extent cx="2842825" cy="1895167"/>
            <wp:effectExtent l="0" t="0" r="0" b="0"/>
            <wp:docPr id="1" name="Immagine 1" descr="https://www.acasamai.it/wp-content/uploads/2018/07/Ciad-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Ciad-Bandie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255" cy="1896120"/>
                    </a:xfrm>
                    <a:prstGeom prst="rect">
                      <a:avLst/>
                    </a:prstGeom>
                    <a:noFill/>
                    <a:ln>
                      <a:noFill/>
                    </a:ln>
                  </pic:spPr>
                </pic:pic>
              </a:graphicData>
            </a:graphic>
          </wp:inline>
        </w:drawing>
      </w:r>
    </w:p>
    <w:p w:rsidR="00103FAC" w:rsidRDefault="00103FAC" w:rsidP="00103FAC"/>
    <w:p w:rsidR="00CE0D83" w:rsidRDefault="00103FAC" w:rsidP="00103FAC">
      <w:pPr>
        <w:rPr>
          <w:i/>
          <w:sz w:val="20"/>
        </w:rPr>
      </w:pPr>
      <w:r w:rsidRPr="00103FAC">
        <w:rPr>
          <w:i/>
          <w:sz w:val="20"/>
        </w:rPr>
        <w:t>Popolazione:</w:t>
      </w:r>
      <w:r w:rsidRPr="00103FAC">
        <w:t xml:space="preserve"> </w:t>
      </w:r>
      <w:r w:rsidRPr="00103FAC">
        <w:rPr>
          <w:sz w:val="20"/>
          <w:szCs w:val="20"/>
        </w:rPr>
        <w:t>Il 73% della popolazione del Ciad risiede in zone rurali, principalmente a sud, zona non occupata dal deserto. Il Ciad conta poco più di 11,4 milioni di abitanti.</w:t>
      </w:r>
    </w:p>
    <w:p w:rsidR="00103FAC" w:rsidRDefault="00103FAC" w:rsidP="00103FAC">
      <w:pPr>
        <w:rPr>
          <w:sz w:val="20"/>
          <w:szCs w:val="20"/>
        </w:rPr>
      </w:pPr>
      <w:r>
        <w:rPr>
          <w:rFonts w:ascii="Times New Roman" w:hAnsi="Times New Roman" w:cs="Times New Roman"/>
          <w:b/>
          <w:sz w:val="20"/>
        </w:rPr>
        <w:t xml:space="preserve">Demografia: </w:t>
      </w:r>
      <w:r w:rsidRPr="00103FAC">
        <w:rPr>
          <w:sz w:val="20"/>
          <w:szCs w:val="20"/>
        </w:rPr>
        <w:t>Il Ciad a causa dell'assenza di piogge sufficienti è stato sempre impossibilitato ad avere un'agricoltura fiorente e duratura, inoltre le elevatissime temperature senza smorzi dal Sole cocente hanno complicato ulteriormente la situazione. Questo anche a causa della sua particolare posizione cioè senza rilevanti bacini idrografici. Ciò ha condizionato la demografia del Ciad impedendole di farla arrivare a numeri alti, ma in questi ultimi anni la popolazione è aumentata comunque</w:t>
      </w:r>
      <w:r w:rsidRPr="00103FAC">
        <w:rPr>
          <w:sz w:val="20"/>
          <w:szCs w:val="20"/>
        </w:rPr>
        <w:t>.</w:t>
      </w:r>
    </w:p>
    <w:p w:rsidR="00103FAC" w:rsidRPr="00103FAC" w:rsidRDefault="00103FAC" w:rsidP="00103FAC">
      <w:pPr>
        <w:pStyle w:val="NormaleWeb"/>
        <w:rPr>
          <w:rFonts w:asciiTheme="minorHAnsi" w:hAnsiTheme="minorHAnsi"/>
          <w:sz w:val="20"/>
          <w:szCs w:val="20"/>
        </w:rPr>
      </w:pPr>
      <w:r>
        <w:rPr>
          <w:b/>
          <w:sz w:val="20"/>
          <w:szCs w:val="20"/>
        </w:rPr>
        <w:t xml:space="preserve">Etnie: </w:t>
      </w:r>
      <w:r w:rsidRPr="00103FAC">
        <w:rPr>
          <w:rFonts w:asciiTheme="minorHAnsi" w:hAnsiTheme="minorHAnsi"/>
          <w:sz w:val="20"/>
          <w:szCs w:val="20"/>
        </w:rPr>
        <w:t xml:space="preserve">Ci sono più di 200 gruppi etnici in Ciad. Attraverso le loro lunghe relazioni religiose e commerciali con il </w:t>
      </w:r>
      <w:hyperlink r:id="rId9" w:tooltip="Sudan" w:history="1">
        <w:r w:rsidRPr="00103FAC">
          <w:rPr>
            <w:rStyle w:val="Collegamentoipertestuale"/>
            <w:rFonts w:asciiTheme="minorHAnsi" w:hAnsiTheme="minorHAnsi"/>
            <w:sz w:val="20"/>
            <w:szCs w:val="20"/>
          </w:rPr>
          <w:t>Sudan</w:t>
        </w:r>
      </w:hyperlink>
      <w:r w:rsidRPr="00103FAC">
        <w:rPr>
          <w:rFonts w:asciiTheme="minorHAnsi" w:hAnsiTheme="minorHAnsi"/>
          <w:sz w:val="20"/>
          <w:szCs w:val="20"/>
        </w:rPr>
        <w:t xml:space="preserve"> e l'</w:t>
      </w:r>
      <w:hyperlink r:id="rId10" w:tooltip="Egitto" w:history="1">
        <w:r w:rsidRPr="00103FAC">
          <w:rPr>
            <w:rStyle w:val="Collegamentoipertestuale"/>
            <w:rFonts w:asciiTheme="minorHAnsi" w:hAnsiTheme="minorHAnsi"/>
            <w:sz w:val="20"/>
            <w:szCs w:val="20"/>
          </w:rPr>
          <w:t>Egitto</w:t>
        </w:r>
      </w:hyperlink>
      <w:r w:rsidRPr="00103FAC">
        <w:rPr>
          <w:rFonts w:asciiTheme="minorHAnsi" w:hAnsiTheme="minorHAnsi"/>
          <w:sz w:val="20"/>
          <w:szCs w:val="20"/>
        </w:rPr>
        <w:t xml:space="preserve">, molte persone nell'est del Ciad e delle regioni centrali sono state più o meno arabizzate, parlano la lingua araba e stanno pure assumendo molte pratiche della cultura araba. Il principale gruppo etnico del Ciad sono i </w:t>
      </w:r>
      <w:hyperlink r:id="rId11" w:tooltip="Sara (popolo) (la pagina non esiste)" w:history="1">
        <w:r w:rsidRPr="00103FAC">
          <w:rPr>
            <w:rStyle w:val="Collegamentoipertestuale"/>
            <w:rFonts w:asciiTheme="minorHAnsi" w:hAnsiTheme="minorHAnsi"/>
            <w:sz w:val="20"/>
            <w:szCs w:val="20"/>
          </w:rPr>
          <w:t>Sara</w:t>
        </w:r>
      </w:hyperlink>
      <w:r w:rsidRPr="00103FAC">
        <w:rPr>
          <w:rFonts w:asciiTheme="minorHAnsi" w:hAnsiTheme="minorHAnsi"/>
          <w:sz w:val="20"/>
          <w:szCs w:val="20"/>
        </w:rPr>
        <w:t xml:space="preserve">, di religione cristiano/animista (popolo Sara) che vive nel sud e compone il 20% della popolazione. Nel Ciad centrale, la popolazione è soprattutto nomade e si dedica alla pastorizia. I montanari del nord sono sparsi, principalmente la popolazione musulmana mista povera. Ciascuna società nel Ciad (più piccola dei gruppi descritti sopra) ha sviluppato la propria religione, musica e folclore. </w:t>
      </w:r>
    </w:p>
    <w:p w:rsidR="00103FAC" w:rsidRDefault="00103FAC" w:rsidP="00103FAC">
      <w:pPr>
        <w:pStyle w:val="NormaleWeb"/>
      </w:pPr>
      <w:r w:rsidRPr="00103FAC">
        <w:rPr>
          <w:rFonts w:asciiTheme="minorHAnsi" w:hAnsiTheme="minorHAnsi"/>
          <w:i/>
          <w:sz w:val="20"/>
        </w:rPr>
        <w:t>Religione:</w:t>
      </w:r>
      <w:r w:rsidRPr="00103FAC">
        <w:t xml:space="preserve"> </w:t>
      </w:r>
      <w:r w:rsidRPr="00103FAC">
        <w:rPr>
          <w:rFonts w:asciiTheme="minorHAnsi" w:hAnsiTheme="minorHAnsi"/>
          <w:sz w:val="20"/>
          <w:szCs w:val="20"/>
        </w:rPr>
        <w:t xml:space="preserve">La religione più diffusa è quella musulmana (53,10% i musulmani sono principalmente a nord del territorio), poi seguono i Cristiani (35%, che come gli animisti 10%, sono principalmente nel centro sud) ed infine gli atei (2,90%). </w:t>
      </w:r>
      <w:r w:rsidRPr="00103FAC">
        <w:rPr>
          <w:rFonts w:asciiTheme="minorHAnsi" w:hAnsiTheme="minorHAnsi"/>
          <w:sz w:val="20"/>
          <w:szCs w:val="20"/>
        </w:rPr>
        <w:t xml:space="preserve"> </w:t>
      </w:r>
      <w:r w:rsidRPr="00103FAC">
        <w:rPr>
          <w:rFonts w:asciiTheme="minorHAnsi" w:hAnsiTheme="minorHAnsi"/>
          <w:sz w:val="20"/>
          <w:szCs w:val="20"/>
        </w:rPr>
        <w:t xml:space="preserve">Le chiese cristiane più grandi sono la Chiesa Cattolica Romana, le </w:t>
      </w:r>
      <w:proofErr w:type="spellStart"/>
      <w:r w:rsidRPr="00103FAC">
        <w:rPr>
          <w:rFonts w:asciiTheme="minorHAnsi" w:hAnsiTheme="minorHAnsi"/>
          <w:sz w:val="20"/>
          <w:szCs w:val="20"/>
        </w:rPr>
        <w:t>Assemblées</w:t>
      </w:r>
      <w:proofErr w:type="spellEnd"/>
      <w:r w:rsidRPr="00103FAC">
        <w:rPr>
          <w:rFonts w:asciiTheme="minorHAnsi" w:hAnsiTheme="minorHAnsi"/>
          <w:sz w:val="20"/>
          <w:szCs w:val="20"/>
        </w:rPr>
        <w:t xml:space="preserve"> </w:t>
      </w:r>
      <w:proofErr w:type="spellStart"/>
      <w:r w:rsidRPr="00103FAC">
        <w:rPr>
          <w:rFonts w:asciiTheme="minorHAnsi" w:hAnsiTheme="minorHAnsi"/>
          <w:sz w:val="20"/>
          <w:szCs w:val="20"/>
        </w:rPr>
        <w:t>Chrétiennes</w:t>
      </w:r>
      <w:proofErr w:type="spellEnd"/>
      <w:r w:rsidRPr="00103FAC">
        <w:rPr>
          <w:rFonts w:asciiTheme="minorHAnsi" w:hAnsiTheme="minorHAnsi"/>
          <w:sz w:val="20"/>
          <w:szCs w:val="20"/>
        </w:rPr>
        <w:t xml:space="preserve"> del Ciad, la Chiesa Battista del Ciad e la Chiesa Evangelica del Ciad.</w:t>
      </w:r>
      <w:r>
        <w:t xml:space="preserve"> </w:t>
      </w:r>
    </w:p>
    <w:p w:rsidR="00B82115" w:rsidRPr="00B82115" w:rsidRDefault="00103FAC" w:rsidP="00B82115">
      <w:pPr>
        <w:pStyle w:val="NormaleWeb"/>
        <w:rPr>
          <w:rFonts w:asciiTheme="minorHAnsi" w:hAnsiTheme="minorHAnsi"/>
          <w:sz w:val="22"/>
          <w:szCs w:val="22"/>
        </w:rPr>
      </w:pPr>
      <w:r w:rsidRPr="00103FAC">
        <w:rPr>
          <w:rFonts w:asciiTheme="minorHAnsi" w:hAnsiTheme="minorHAnsi"/>
          <w:i/>
          <w:sz w:val="20"/>
          <w:szCs w:val="20"/>
        </w:rPr>
        <w:t>Lingue:</w:t>
      </w:r>
      <w:r w:rsidR="00B82115" w:rsidRPr="00B82115">
        <w:t xml:space="preserve"> </w:t>
      </w:r>
      <w:r w:rsidR="00B82115" w:rsidRPr="00B82115">
        <w:rPr>
          <w:rFonts w:asciiTheme="minorHAnsi" w:hAnsiTheme="minorHAnsi"/>
          <w:sz w:val="22"/>
          <w:szCs w:val="22"/>
        </w:rPr>
        <w:t xml:space="preserve">Il Ciad è una nazione varia culturalmente. Tra le manifestazioni di questa diversità, è caratteristico l'enorme numero di lingue parlate. Sebbene le lingue ufficiali siano l'arabo ed il francese, ci sono più di 100 lingue tribali parlate. I principali gruppi linguistici sono: </w:t>
      </w:r>
    </w:p>
    <w:p w:rsidR="00B82115" w:rsidRPr="00B82115" w:rsidRDefault="00B82115" w:rsidP="00B82115">
      <w:pPr>
        <w:numPr>
          <w:ilvl w:val="0"/>
          <w:numId w:val="1"/>
        </w:numPr>
        <w:spacing w:before="100" w:beforeAutospacing="1" w:after="100" w:afterAutospacing="1" w:line="240" w:lineRule="auto"/>
        <w:rPr>
          <w:rFonts w:eastAsia="Times New Roman" w:cs="Times New Roman"/>
          <w:lang w:eastAsia="it-IT"/>
        </w:rPr>
      </w:pPr>
      <w:r w:rsidRPr="00B82115">
        <w:rPr>
          <w:rFonts w:eastAsia="Times New Roman" w:cs="Times New Roman"/>
          <w:lang w:eastAsia="it-IT"/>
        </w:rPr>
        <w:t>il gruppo Sara-Bongo-</w:t>
      </w:r>
      <w:proofErr w:type="spellStart"/>
      <w:r w:rsidRPr="00B82115">
        <w:rPr>
          <w:rFonts w:eastAsia="Times New Roman" w:cs="Times New Roman"/>
          <w:lang w:eastAsia="it-IT"/>
        </w:rPr>
        <w:t>Baguirmien</w:t>
      </w:r>
      <w:proofErr w:type="spellEnd"/>
      <w:r w:rsidRPr="00B82115">
        <w:rPr>
          <w:rFonts w:eastAsia="Times New Roman" w:cs="Times New Roman"/>
          <w:lang w:eastAsia="it-IT"/>
        </w:rPr>
        <w:t xml:space="preserve"> (Sara, </w:t>
      </w:r>
      <w:proofErr w:type="spellStart"/>
      <w:r w:rsidRPr="00B82115">
        <w:rPr>
          <w:rFonts w:eastAsia="Times New Roman" w:cs="Times New Roman"/>
          <w:lang w:eastAsia="it-IT"/>
        </w:rPr>
        <w:t>Bilala</w:t>
      </w:r>
      <w:proofErr w:type="spellEnd"/>
      <w:r w:rsidRPr="00B82115">
        <w:rPr>
          <w:rFonts w:eastAsia="Times New Roman" w:cs="Times New Roman"/>
          <w:lang w:eastAsia="it-IT"/>
        </w:rPr>
        <w:t xml:space="preserve">, </w:t>
      </w:r>
      <w:proofErr w:type="spellStart"/>
      <w:r w:rsidRPr="00B82115">
        <w:rPr>
          <w:rFonts w:eastAsia="Times New Roman" w:cs="Times New Roman"/>
          <w:lang w:eastAsia="it-IT"/>
        </w:rPr>
        <w:t>Kenga</w:t>
      </w:r>
      <w:proofErr w:type="spellEnd"/>
      <w:r w:rsidRPr="00B82115">
        <w:rPr>
          <w:rFonts w:eastAsia="Times New Roman" w:cs="Times New Roman"/>
          <w:lang w:eastAsia="it-IT"/>
        </w:rPr>
        <w:t>);</w:t>
      </w:r>
    </w:p>
    <w:p w:rsidR="00B82115" w:rsidRPr="00B82115" w:rsidRDefault="00B82115" w:rsidP="00B82115">
      <w:pPr>
        <w:numPr>
          <w:ilvl w:val="0"/>
          <w:numId w:val="1"/>
        </w:numPr>
        <w:spacing w:before="100" w:beforeAutospacing="1" w:after="100" w:afterAutospacing="1" w:line="240" w:lineRule="auto"/>
        <w:rPr>
          <w:rFonts w:eastAsia="Times New Roman" w:cs="Times New Roman"/>
          <w:lang w:eastAsia="it-IT"/>
        </w:rPr>
      </w:pPr>
      <w:r w:rsidRPr="00B82115">
        <w:rPr>
          <w:rFonts w:eastAsia="Times New Roman" w:cs="Times New Roman"/>
          <w:lang w:eastAsia="it-IT"/>
        </w:rPr>
        <w:t xml:space="preserve">il gruppo ciadiano (Massa, </w:t>
      </w:r>
      <w:proofErr w:type="spellStart"/>
      <w:r w:rsidRPr="00B82115">
        <w:rPr>
          <w:rFonts w:eastAsia="Times New Roman" w:cs="Times New Roman"/>
          <w:lang w:eastAsia="it-IT"/>
        </w:rPr>
        <w:t>Kabalaye</w:t>
      </w:r>
      <w:proofErr w:type="spellEnd"/>
      <w:r w:rsidRPr="00B82115">
        <w:rPr>
          <w:rFonts w:eastAsia="Times New Roman" w:cs="Times New Roman"/>
          <w:lang w:eastAsia="it-IT"/>
        </w:rPr>
        <w:t xml:space="preserve">, </w:t>
      </w:r>
      <w:proofErr w:type="spellStart"/>
      <w:r w:rsidRPr="00B82115">
        <w:rPr>
          <w:rFonts w:eastAsia="Times New Roman" w:cs="Times New Roman"/>
          <w:lang w:eastAsia="it-IT"/>
        </w:rPr>
        <w:t>Toumak</w:t>
      </w:r>
      <w:proofErr w:type="spellEnd"/>
      <w:r w:rsidRPr="00B82115">
        <w:rPr>
          <w:rFonts w:eastAsia="Times New Roman" w:cs="Times New Roman"/>
          <w:lang w:eastAsia="it-IT"/>
        </w:rPr>
        <w:t xml:space="preserve">, </w:t>
      </w:r>
      <w:proofErr w:type="spellStart"/>
      <w:r w:rsidRPr="00B82115">
        <w:rPr>
          <w:rFonts w:eastAsia="Times New Roman" w:cs="Times New Roman"/>
          <w:lang w:eastAsia="it-IT"/>
        </w:rPr>
        <w:t>Dangleat</w:t>
      </w:r>
      <w:proofErr w:type="spellEnd"/>
      <w:r w:rsidRPr="00B82115">
        <w:rPr>
          <w:rFonts w:eastAsia="Times New Roman" w:cs="Times New Roman"/>
          <w:lang w:eastAsia="it-IT"/>
        </w:rPr>
        <w:t>);</w:t>
      </w:r>
    </w:p>
    <w:p w:rsidR="00B82115" w:rsidRPr="00B82115" w:rsidRDefault="00B82115" w:rsidP="00B82115">
      <w:pPr>
        <w:numPr>
          <w:ilvl w:val="0"/>
          <w:numId w:val="1"/>
        </w:numPr>
        <w:spacing w:before="100" w:beforeAutospacing="1" w:after="100" w:afterAutospacing="1" w:line="240" w:lineRule="auto"/>
        <w:rPr>
          <w:rFonts w:eastAsia="Times New Roman" w:cs="Times New Roman"/>
          <w:lang w:eastAsia="it-IT"/>
        </w:rPr>
      </w:pPr>
      <w:r w:rsidRPr="00B82115">
        <w:rPr>
          <w:rFonts w:eastAsia="Times New Roman" w:cs="Times New Roman"/>
          <w:lang w:eastAsia="it-IT"/>
        </w:rPr>
        <w:t xml:space="preserve">il gruppo </w:t>
      </w:r>
      <w:hyperlink r:id="rId12" w:tooltip="Lingua araba" w:history="1">
        <w:r w:rsidRPr="00B82115">
          <w:rPr>
            <w:rFonts w:eastAsia="Times New Roman" w:cs="Times New Roman"/>
            <w:color w:val="0000FF"/>
            <w:u w:val="single"/>
            <w:lang w:eastAsia="it-IT"/>
          </w:rPr>
          <w:t>arabo</w:t>
        </w:r>
      </w:hyperlink>
      <w:r w:rsidRPr="00B82115">
        <w:rPr>
          <w:rFonts w:eastAsia="Times New Roman" w:cs="Times New Roman"/>
          <w:lang w:eastAsia="it-IT"/>
        </w:rPr>
        <w:t>;</w:t>
      </w:r>
    </w:p>
    <w:p w:rsidR="00B82115" w:rsidRPr="00B82115" w:rsidRDefault="00B82115" w:rsidP="00B82115">
      <w:pPr>
        <w:numPr>
          <w:ilvl w:val="0"/>
          <w:numId w:val="1"/>
        </w:numPr>
        <w:spacing w:before="100" w:beforeAutospacing="1" w:after="100" w:afterAutospacing="1" w:line="240" w:lineRule="auto"/>
        <w:rPr>
          <w:rFonts w:eastAsia="Times New Roman" w:cs="Times New Roman"/>
          <w:lang w:eastAsia="it-IT"/>
        </w:rPr>
      </w:pPr>
      <w:r w:rsidRPr="00B82115">
        <w:rPr>
          <w:rFonts w:eastAsia="Times New Roman" w:cs="Times New Roman"/>
          <w:lang w:eastAsia="it-IT"/>
        </w:rPr>
        <w:t>il gruppo dell'</w:t>
      </w:r>
      <w:proofErr w:type="spellStart"/>
      <w:r w:rsidRPr="00B82115">
        <w:rPr>
          <w:rFonts w:eastAsia="Times New Roman" w:cs="Times New Roman"/>
          <w:lang w:eastAsia="it-IT"/>
        </w:rPr>
        <w:fldChar w:fldCharType="begin"/>
      </w:r>
      <w:r w:rsidRPr="00B82115">
        <w:rPr>
          <w:rFonts w:eastAsia="Times New Roman" w:cs="Times New Roman"/>
          <w:lang w:eastAsia="it-IT"/>
        </w:rPr>
        <w:instrText xml:space="preserve"> HYPERLINK "https://it.wikipedia.org/wiki/Massiccio_dell%27Adamaoua" \o "Massiccio dell'Adamaoua" </w:instrText>
      </w:r>
      <w:r w:rsidRPr="00B82115">
        <w:rPr>
          <w:rFonts w:eastAsia="Times New Roman" w:cs="Times New Roman"/>
          <w:lang w:eastAsia="it-IT"/>
        </w:rPr>
        <w:fldChar w:fldCharType="separate"/>
      </w:r>
      <w:r w:rsidRPr="00B82115">
        <w:rPr>
          <w:rFonts w:eastAsia="Times New Roman" w:cs="Times New Roman"/>
          <w:color w:val="0000FF"/>
          <w:u w:val="single"/>
          <w:lang w:eastAsia="it-IT"/>
        </w:rPr>
        <w:t>Adamaoua</w:t>
      </w:r>
      <w:proofErr w:type="spellEnd"/>
      <w:r w:rsidRPr="00B82115">
        <w:rPr>
          <w:rFonts w:eastAsia="Times New Roman" w:cs="Times New Roman"/>
          <w:lang w:eastAsia="it-IT"/>
        </w:rPr>
        <w:fldChar w:fldCharType="end"/>
      </w:r>
      <w:r w:rsidRPr="00B82115">
        <w:rPr>
          <w:rFonts w:eastAsia="Times New Roman" w:cs="Times New Roman"/>
          <w:lang w:eastAsia="it-IT"/>
        </w:rPr>
        <w:t xml:space="preserve"> orientale (</w:t>
      </w:r>
      <w:proofErr w:type="spellStart"/>
      <w:r w:rsidRPr="00B82115">
        <w:rPr>
          <w:rFonts w:eastAsia="Times New Roman" w:cs="Times New Roman"/>
          <w:lang w:eastAsia="it-IT"/>
        </w:rPr>
        <w:t>Toupouri</w:t>
      </w:r>
      <w:proofErr w:type="spellEnd"/>
      <w:r w:rsidRPr="00B82115">
        <w:rPr>
          <w:rFonts w:eastAsia="Times New Roman" w:cs="Times New Roman"/>
          <w:lang w:eastAsia="it-IT"/>
        </w:rPr>
        <w:t xml:space="preserve">, </w:t>
      </w:r>
      <w:proofErr w:type="spellStart"/>
      <w:r w:rsidRPr="00B82115">
        <w:rPr>
          <w:rFonts w:eastAsia="Times New Roman" w:cs="Times New Roman"/>
          <w:lang w:eastAsia="it-IT"/>
        </w:rPr>
        <w:t>Mboum</w:t>
      </w:r>
      <w:proofErr w:type="spellEnd"/>
      <w:r w:rsidRPr="00B82115">
        <w:rPr>
          <w:rFonts w:eastAsia="Times New Roman" w:cs="Times New Roman"/>
          <w:lang w:eastAsia="it-IT"/>
        </w:rPr>
        <w:t xml:space="preserve">, </w:t>
      </w:r>
      <w:proofErr w:type="spellStart"/>
      <w:r w:rsidRPr="00B82115">
        <w:rPr>
          <w:rFonts w:eastAsia="Times New Roman" w:cs="Times New Roman"/>
          <w:lang w:eastAsia="it-IT"/>
        </w:rPr>
        <w:t>Kim</w:t>
      </w:r>
      <w:proofErr w:type="spellEnd"/>
      <w:r w:rsidRPr="00B82115">
        <w:rPr>
          <w:rFonts w:eastAsia="Times New Roman" w:cs="Times New Roman"/>
          <w:lang w:eastAsia="it-IT"/>
        </w:rPr>
        <w:t xml:space="preserve">, </w:t>
      </w:r>
      <w:proofErr w:type="spellStart"/>
      <w:r w:rsidRPr="00B82115">
        <w:rPr>
          <w:rFonts w:eastAsia="Times New Roman" w:cs="Times New Roman"/>
          <w:lang w:eastAsia="it-IT"/>
        </w:rPr>
        <w:t>Mesme</w:t>
      </w:r>
      <w:proofErr w:type="spellEnd"/>
      <w:r w:rsidRPr="00B82115">
        <w:rPr>
          <w:rFonts w:eastAsia="Times New Roman" w:cs="Times New Roman"/>
          <w:lang w:eastAsia="it-IT"/>
        </w:rPr>
        <w:t xml:space="preserve">, </w:t>
      </w:r>
      <w:proofErr w:type="spellStart"/>
      <w:r w:rsidRPr="00B82115">
        <w:rPr>
          <w:rFonts w:eastAsia="Times New Roman" w:cs="Times New Roman"/>
          <w:lang w:eastAsia="it-IT"/>
        </w:rPr>
        <w:t>Moundang</w:t>
      </w:r>
      <w:proofErr w:type="spellEnd"/>
      <w:r w:rsidRPr="00B82115">
        <w:rPr>
          <w:rFonts w:eastAsia="Times New Roman" w:cs="Times New Roman"/>
          <w:lang w:eastAsia="it-IT"/>
        </w:rPr>
        <w:t>);</w:t>
      </w:r>
    </w:p>
    <w:p w:rsidR="00B82115" w:rsidRPr="00B82115" w:rsidRDefault="00B82115" w:rsidP="00B82115">
      <w:pPr>
        <w:numPr>
          <w:ilvl w:val="0"/>
          <w:numId w:val="1"/>
        </w:numPr>
        <w:spacing w:before="100" w:beforeAutospacing="1" w:after="100" w:afterAutospacing="1" w:line="240" w:lineRule="auto"/>
        <w:rPr>
          <w:rFonts w:eastAsia="Times New Roman" w:cs="Times New Roman"/>
          <w:lang w:eastAsia="it-IT"/>
        </w:rPr>
      </w:pPr>
      <w:r w:rsidRPr="00B82115">
        <w:rPr>
          <w:rFonts w:eastAsia="Times New Roman" w:cs="Times New Roman"/>
          <w:lang w:eastAsia="it-IT"/>
        </w:rPr>
        <w:t xml:space="preserve">il gruppo </w:t>
      </w:r>
      <w:hyperlink r:id="rId13" w:tooltip="Lingue sahariane" w:history="1">
        <w:r w:rsidRPr="00B82115">
          <w:rPr>
            <w:rFonts w:eastAsia="Times New Roman" w:cs="Times New Roman"/>
            <w:color w:val="0000FF"/>
            <w:u w:val="single"/>
            <w:lang w:eastAsia="it-IT"/>
          </w:rPr>
          <w:t>sahariano</w:t>
        </w:r>
      </w:hyperlink>
      <w:r w:rsidRPr="00B82115">
        <w:rPr>
          <w:rFonts w:eastAsia="Times New Roman" w:cs="Times New Roman"/>
          <w:lang w:eastAsia="it-IT"/>
        </w:rPr>
        <w:t xml:space="preserve"> centrale (</w:t>
      </w:r>
      <w:proofErr w:type="spellStart"/>
      <w:r w:rsidRPr="00B82115">
        <w:rPr>
          <w:rFonts w:eastAsia="Times New Roman" w:cs="Times New Roman"/>
          <w:lang w:eastAsia="it-IT"/>
        </w:rPr>
        <w:t>Kanembou</w:t>
      </w:r>
      <w:proofErr w:type="spellEnd"/>
      <w:r w:rsidRPr="00B82115">
        <w:rPr>
          <w:rFonts w:eastAsia="Times New Roman" w:cs="Times New Roman"/>
          <w:lang w:eastAsia="it-IT"/>
        </w:rPr>
        <w:t xml:space="preserve">, </w:t>
      </w:r>
      <w:proofErr w:type="spellStart"/>
      <w:r w:rsidRPr="00B82115">
        <w:rPr>
          <w:rFonts w:eastAsia="Times New Roman" w:cs="Times New Roman"/>
          <w:lang w:eastAsia="it-IT"/>
        </w:rPr>
        <w:t>Kanouri</w:t>
      </w:r>
      <w:proofErr w:type="spellEnd"/>
      <w:r w:rsidRPr="00B82115">
        <w:rPr>
          <w:rFonts w:eastAsia="Times New Roman" w:cs="Times New Roman"/>
          <w:lang w:eastAsia="it-IT"/>
        </w:rPr>
        <w:t xml:space="preserve">, Teda, </w:t>
      </w:r>
      <w:proofErr w:type="spellStart"/>
      <w:r w:rsidRPr="00B82115">
        <w:rPr>
          <w:rFonts w:eastAsia="Times New Roman" w:cs="Times New Roman"/>
          <w:lang w:eastAsia="it-IT"/>
        </w:rPr>
        <w:t>Daza</w:t>
      </w:r>
      <w:proofErr w:type="spellEnd"/>
      <w:r w:rsidRPr="00B82115">
        <w:rPr>
          <w:rFonts w:eastAsia="Times New Roman" w:cs="Times New Roman"/>
          <w:lang w:eastAsia="it-IT"/>
        </w:rPr>
        <w:t>, Baele).</w:t>
      </w:r>
    </w:p>
    <w:p w:rsidR="00103FAC" w:rsidRDefault="00B82115" w:rsidP="00103FAC">
      <w:pPr>
        <w:pStyle w:val="NormaleWeb"/>
        <w:rPr>
          <w:rFonts w:asciiTheme="minorHAnsi" w:hAnsiTheme="minorHAnsi"/>
          <w:i/>
          <w:sz w:val="20"/>
          <w:szCs w:val="20"/>
        </w:rPr>
      </w:pPr>
      <w:r>
        <w:rPr>
          <w:rFonts w:asciiTheme="minorHAnsi" w:hAnsiTheme="minorHAnsi"/>
          <w:i/>
          <w:sz w:val="20"/>
          <w:szCs w:val="20"/>
        </w:rPr>
        <w:t>Ordinamento statale, economia, politica:</w:t>
      </w:r>
    </w:p>
    <w:p w:rsidR="00B82115" w:rsidRPr="00B82115" w:rsidRDefault="00B82115" w:rsidP="00B82115">
      <w:pPr>
        <w:pStyle w:val="Paragrafoelenco"/>
        <w:numPr>
          <w:ilvl w:val="0"/>
          <w:numId w:val="2"/>
        </w:numPr>
        <w:spacing w:before="100" w:beforeAutospacing="1" w:after="100" w:afterAutospacing="1" w:line="240" w:lineRule="auto"/>
        <w:rPr>
          <w:rFonts w:eastAsia="Times New Roman" w:cs="Times New Roman"/>
          <w:sz w:val="20"/>
          <w:szCs w:val="20"/>
          <w:lang w:eastAsia="it-IT"/>
        </w:rPr>
      </w:pPr>
      <w:r w:rsidRPr="00B82115">
        <w:rPr>
          <w:rFonts w:eastAsia="Times New Roman" w:cs="Times New Roman"/>
          <w:sz w:val="20"/>
          <w:szCs w:val="20"/>
          <w:lang w:eastAsia="it-IT"/>
        </w:rPr>
        <w:t xml:space="preserve">Il Ciad si suddivide in </w:t>
      </w:r>
      <w:hyperlink r:id="rId14" w:tooltip="Regioni del Ciad" w:history="1">
        <w:r w:rsidRPr="00B82115">
          <w:rPr>
            <w:rFonts w:eastAsia="Times New Roman" w:cs="Times New Roman"/>
            <w:color w:val="0000FF"/>
            <w:sz w:val="20"/>
            <w:szCs w:val="20"/>
            <w:u w:val="single"/>
            <w:lang w:eastAsia="it-IT"/>
          </w:rPr>
          <w:t>regioni</w:t>
        </w:r>
      </w:hyperlink>
      <w:r w:rsidRPr="00B82115">
        <w:rPr>
          <w:rFonts w:eastAsia="Times New Roman" w:cs="Times New Roman"/>
          <w:sz w:val="20"/>
          <w:szCs w:val="20"/>
          <w:lang w:eastAsia="it-IT"/>
        </w:rPr>
        <w:t xml:space="preserve">, pari nel loro complesso a 23, ciascuna delle quali si suddivide ulteriormente in </w:t>
      </w:r>
      <w:hyperlink r:id="rId15" w:tooltip="Dipartimenti del Ciad" w:history="1">
        <w:r w:rsidRPr="00B82115">
          <w:rPr>
            <w:rFonts w:eastAsia="Times New Roman" w:cs="Times New Roman"/>
            <w:color w:val="0000FF"/>
            <w:sz w:val="20"/>
            <w:szCs w:val="20"/>
            <w:u w:val="single"/>
            <w:lang w:eastAsia="it-IT"/>
          </w:rPr>
          <w:t>dipartimenti</w:t>
        </w:r>
      </w:hyperlink>
      <w:r w:rsidRPr="00B82115">
        <w:rPr>
          <w:rFonts w:eastAsia="Times New Roman" w:cs="Times New Roman"/>
          <w:sz w:val="20"/>
          <w:szCs w:val="20"/>
          <w:lang w:eastAsia="it-IT"/>
        </w:rPr>
        <w:t xml:space="preserve">. Il livello successivo dell'organizzazione territoriale è rappresentato dalle </w:t>
      </w:r>
      <w:hyperlink r:id="rId16" w:tooltip="Subprefetture del Ciad (la pagina non esiste)" w:history="1">
        <w:proofErr w:type="spellStart"/>
        <w:r w:rsidRPr="00B82115">
          <w:rPr>
            <w:rFonts w:eastAsia="Times New Roman" w:cs="Times New Roman"/>
            <w:color w:val="0000FF"/>
            <w:sz w:val="20"/>
            <w:szCs w:val="20"/>
            <w:u w:val="single"/>
            <w:lang w:eastAsia="it-IT"/>
          </w:rPr>
          <w:t>subprefetture</w:t>
        </w:r>
        <w:proofErr w:type="spellEnd"/>
      </w:hyperlink>
      <w:r w:rsidRPr="00B82115">
        <w:rPr>
          <w:rFonts w:eastAsia="Times New Roman" w:cs="Times New Roman"/>
          <w:sz w:val="20"/>
          <w:szCs w:val="20"/>
          <w:lang w:eastAsia="it-IT"/>
        </w:rPr>
        <w:t xml:space="preserve">, mentre la capitale costituisce una regione a sé stante. La suddivisione di primo livello, storicamente basata sulle prefetture, ha lasciato il posto a quella fondata sui dipartimenti a seguito della riforma amministrativa del </w:t>
      </w:r>
      <w:hyperlink r:id="rId17" w:tooltip="1999" w:history="1">
        <w:r w:rsidRPr="00B82115">
          <w:rPr>
            <w:rFonts w:eastAsia="Times New Roman" w:cs="Times New Roman"/>
            <w:color w:val="0000FF"/>
            <w:sz w:val="20"/>
            <w:szCs w:val="20"/>
            <w:u w:val="single"/>
            <w:lang w:eastAsia="it-IT"/>
          </w:rPr>
          <w:t>1999</w:t>
        </w:r>
      </w:hyperlink>
      <w:r w:rsidRPr="00B82115">
        <w:rPr>
          <w:rFonts w:eastAsia="Times New Roman" w:cs="Times New Roman"/>
          <w:sz w:val="20"/>
          <w:szCs w:val="20"/>
          <w:lang w:eastAsia="it-IT"/>
        </w:rPr>
        <w:t xml:space="preserve">; nel </w:t>
      </w:r>
      <w:hyperlink r:id="rId18" w:tooltip="2002" w:history="1">
        <w:r w:rsidRPr="00B82115">
          <w:rPr>
            <w:rFonts w:eastAsia="Times New Roman" w:cs="Times New Roman"/>
            <w:color w:val="0000FF"/>
            <w:sz w:val="20"/>
            <w:szCs w:val="20"/>
            <w:u w:val="single"/>
            <w:lang w:eastAsia="it-IT"/>
          </w:rPr>
          <w:t>2002</w:t>
        </w:r>
      </w:hyperlink>
      <w:r w:rsidRPr="00B82115">
        <w:rPr>
          <w:rFonts w:eastAsia="Times New Roman" w:cs="Times New Roman"/>
          <w:sz w:val="20"/>
          <w:szCs w:val="20"/>
          <w:lang w:eastAsia="it-IT"/>
        </w:rPr>
        <w:t xml:space="preserve">, contestualmente all'istituzione delle regioni 1. come suddivisioni di primo livello, i dipartimenti sono passati a rappresentare il secondo livello dell'organizzazione territoriale del Paese. Le </w:t>
      </w:r>
      <w:r w:rsidRPr="00B82115">
        <w:rPr>
          <w:rFonts w:eastAsia="Times New Roman" w:cs="Times New Roman"/>
          <w:sz w:val="20"/>
          <w:szCs w:val="20"/>
          <w:lang w:eastAsia="it-IT"/>
        </w:rPr>
        <w:lastRenderedPageBreak/>
        <w:t>regioni corrispondono approssimativamente alle 14 Prefetture del Ciad che esistevano dal 1999.</w:t>
      </w:r>
      <w:hyperlink r:id="rId19" w:anchor="cite_note-9" w:history="1">
        <w:r w:rsidRPr="00B82115">
          <w:rPr>
            <w:rFonts w:eastAsia="Times New Roman" w:cs="Times New Roman"/>
            <w:color w:val="0000FF"/>
            <w:sz w:val="20"/>
            <w:szCs w:val="20"/>
            <w:u w:val="single"/>
            <w:vertAlign w:val="superscript"/>
            <w:lang w:eastAsia="it-IT"/>
          </w:rPr>
          <w:t>[9]</w:t>
        </w:r>
      </w:hyperlink>
      <w:r w:rsidRPr="00B82115">
        <w:rPr>
          <w:rFonts w:eastAsia="Times New Roman" w:cs="Times New Roman"/>
          <w:sz w:val="20"/>
          <w:szCs w:val="20"/>
          <w:lang w:eastAsia="it-IT"/>
        </w:rPr>
        <w:t xml:space="preserve"> Fino al </w:t>
      </w:r>
      <w:hyperlink r:id="rId20" w:tooltip="2008" w:history="1">
        <w:r w:rsidRPr="00B82115">
          <w:rPr>
            <w:rFonts w:eastAsia="Times New Roman" w:cs="Times New Roman"/>
            <w:color w:val="0000FF"/>
            <w:sz w:val="20"/>
            <w:szCs w:val="20"/>
            <w:u w:val="single"/>
            <w:lang w:eastAsia="it-IT"/>
          </w:rPr>
          <w:t>2008</w:t>
        </w:r>
      </w:hyperlink>
      <w:r w:rsidRPr="00B82115">
        <w:rPr>
          <w:rFonts w:eastAsia="Times New Roman" w:cs="Times New Roman"/>
          <w:sz w:val="20"/>
          <w:szCs w:val="20"/>
          <w:lang w:eastAsia="it-IT"/>
        </w:rPr>
        <w:t xml:space="preserve"> il numero delle regioni, già fissato a 18, è stato elevato a 22, passando a 23 nel </w:t>
      </w:r>
      <w:hyperlink r:id="rId21" w:tooltip="2012" w:history="1">
        <w:r w:rsidRPr="00B82115">
          <w:rPr>
            <w:rFonts w:eastAsia="Times New Roman" w:cs="Times New Roman"/>
            <w:color w:val="0000FF"/>
            <w:sz w:val="20"/>
            <w:szCs w:val="20"/>
            <w:u w:val="single"/>
            <w:lang w:eastAsia="it-IT"/>
          </w:rPr>
          <w:t>2012</w:t>
        </w:r>
      </w:hyperlink>
      <w:r w:rsidRPr="00B82115">
        <w:rPr>
          <w:rFonts w:eastAsia="Times New Roman" w:cs="Times New Roman"/>
          <w:sz w:val="20"/>
          <w:szCs w:val="20"/>
          <w:lang w:eastAsia="it-IT"/>
        </w:rPr>
        <w:t>.</w:t>
      </w:r>
      <w:hyperlink r:id="rId22" w:anchor="cite_note-10" w:history="1">
        <w:r w:rsidRPr="00B82115">
          <w:rPr>
            <w:rFonts w:eastAsia="Times New Roman" w:cs="Times New Roman"/>
            <w:color w:val="0000FF"/>
            <w:sz w:val="20"/>
            <w:szCs w:val="20"/>
            <w:u w:val="single"/>
            <w:vertAlign w:val="superscript"/>
            <w:lang w:eastAsia="it-IT"/>
          </w:rPr>
          <w:t>[10]</w:t>
        </w:r>
      </w:hyperlink>
      <w:r w:rsidRPr="00B82115">
        <w:rPr>
          <w:rFonts w:eastAsia="Times New Roman" w:cs="Times New Roman"/>
          <w:sz w:val="20"/>
          <w:szCs w:val="20"/>
          <w:lang w:eastAsia="it-IT"/>
        </w:rPr>
        <w:t xml:space="preserve"> </w:t>
      </w:r>
    </w:p>
    <w:p w:rsidR="00B82115" w:rsidRPr="00B82115" w:rsidRDefault="00B82115" w:rsidP="00B82115">
      <w:pPr>
        <w:spacing w:before="100" w:beforeAutospacing="1" w:after="100" w:afterAutospacing="1" w:line="240" w:lineRule="auto"/>
        <w:ind w:left="360"/>
        <w:rPr>
          <w:rFonts w:eastAsia="Times New Roman" w:cs="Times New Roman"/>
          <w:sz w:val="20"/>
          <w:szCs w:val="24"/>
          <w:lang w:eastAsia="it-IT"/>
        </w:rPr>
      </w:pPr>
    </w:p>
    <w:p w:rsidR="00B82115" w:rsidRPr="00B82115" w:rsidRDefault="00B82115" w:rsidP="00B82115">
      <w:pPr>
        <w:pStyle w:val="Paragrafoelenco"/>
        <w:numPr>
          <w:ilvl w:val="0"/>
          <w:numId w:val="4"/>
        </w:numPr>
        <w:spacing w:before="100" w:beforeAutospacing="1" w:after="100" w:afterAutospacing="1" w:line="240" w:lineRule="auto"/>
        <w:rPr>
          <w:rFonts w:eastAsia="Times New Roman" w:cs="Times New Roman"/>
          <w:sz w:val="20"/>
          <w:szCs w:val="24"/>
          <w:lang w:eastAsia="it-IT"/>
        </w:rPr>
      </w:pPr>
      <w:r w:rsidRPr="00B82115">
        <w:rPr>
          <w:rFonts w:eastAsia="Times New Roman" w:cs="Times New Roman"/>
          <w:sz w:val="20"/>
          <w:szCs w:val="24"/>
          <w:lang w:eastAsia="it-IT"/>
        </w:rPr>
        <w:t>Nel 2012 l'indice di sviluppo umano (IHD) del PNUD situa il Ciad al 184º posto sui 187 paesi classificati e il reddito pro capite annuo (PPA) a 2.474 $ US</w:t>
      </w:r>
      <w:hyperlink r:id="rId23" w:anchor="cite_note-IMF-5" w:history="1">
        <w:r w:rsidRPr="00B82115">
          <w:rPr>
            <w:rFonts w:eastAsia="Times New Roman" w:cs="Times New Roman"/>
            <w:color w:val="0000FF"/>
            <w:sz w:val="20"/>
            <w:szCs w:val="24"/>
            <w:u w:val="single"/>
            <w:vertAlign w:val="superscript"/>
            <w:lang w:eastAsia="it-IT"/>
          </w:rPr>
          <w:t>[5]</w:t>
        </w:r>
      </w:hyperlink>
      <w:r w:rsidRPr="00B82115">
        <w:rPr>
          <w:rFonts w:eastAsia="Times New Roman" w:cs="Times New Roman"/>
          <w:sz w:val="20"/>
          <w:szCs w:val="24"/>
          <w:lang w:eastAsia="it-IT"/>
        </w:rPr>
        <w:t xml:space="preserve">. Gli indicatori di sanità riflettono la situazione di povertà del paese (dati del 2001): </w:t>
      </w:r>
    </w:p>
    <w:p w:rsidR="00B82115" w:rsidRPr="00B82115" w:rsidRDefault="00B82115" w:rsidP="00B82115">
      <w:pPr>
        <w:numPr>
          <w:ilvl w:val="0"/>
          <w:numId w:val="3"/>
        </w:numPr>
        <w:spacing w:before="100" w:beforeAutospacing="1" w:after="100" w:afterAutospacing="1" w:line="240" w:lineRule="auto"/>
        <w:rPr>
          <w:rFonts w:eastAsia="Times New Roman" w:cs="Times New Roman"/>
          <w:sz w:val="20"/>
          <w:szCs w:val="24"/>
          <w:lang w:eastAsia="it-IT"/>
        </w:rPr>
      </w:pPr>
      <w:r w:rsidRPr="00B82115">
        <w:rPr>
          <w:rFonts w:eastAsia="Times New Roman" w:cs="Times New Roman"/>
          <w:sz w:val="20"/>
          <w:szCs w:val="24"/>
          <w:lang w:eastAsia="it-IT"/>
        </w:rPr>
        <w:t>Tasso bruto di natalità: 41,6 per mille</w:t>
      </w:r>
    </w:p>
    <w:p w:rsidR="00B82115" w:rsidRPr="00B82115" w:rsidRDefault="00B82115" w:rsidP="00B82115">
      <w:pPr>
        <w:numPr>
          <w:ilvl w:val="0"/>
          <w:numId w:val="3"/>
        </w:numPr>
        <w:spacing w:before="100" w:beforeAutospacing="1" w:after="100" w:afterAutospacing="1" w:line="240" w:lineRule="auto"/>
        <w:rPr>
          <w:rFonts w:eastAsia="Times New Roman" w:cs="Times New Roman"/>
          <w:sz w:val="20"/>
          <w:szCs w:val="24"/>
          <w:lang w:eastAsia="it-IT"/>
        </w:rPr>
      </w:pPr>
      <w:r w:rsidRPr="00B82115">
        <w:rPr>
          <w:rFonts w:eastAsia="Times New Roman" w:cs="Times New Roman"/>
          <w:sz w:val="20"/>
          <w:szCs w:val="24"/>
          <w:lang w:eastAsia="it-IT"/>
        </w:rPr>
        <w:t>Tasso bruto di mortalità: 16,3 per mille</w:t>
      </w:r>
    </w:p>
    <w:p w:rsidR="00B82115" w:rsidRPr="00B82115" w:rsidRDefault="00B82115" w:rsidP="00B82115">
      <w:pPr>
        <w:numPr>
          <w:ilvl w:val="0"/>
          <w:numId w:val="3"/>
        </w:numPr>
        <w:spacing w:before="100" w:beforeAutospacing="1" w:after="100" w:afterAutospacing="1" w:line="240" w:lineRule="auto"/>
        <w:rPr>
          <w:rFonts w:eastAsia="Times New Roman" w:cs="Times New Roman"/>
          <w:sz w:val="20"/>
          <w:szCs w:val="24"/>
          <w:lang w:eastAsia="it-IT"/>
        </w:rPr>
      </w:pPr>
      <w:r w:rsidRPr="00B82115">
        <w:rPr>
          <w:rFonts w:eastAsia="Times New Roman" w:cs="Times New Roman"/>
          <w:sz w:val="20"/>
          <w:szCs w:val="24"/>
          <w:lang w:eastAsia="it-IT"/>
        </w:rPr>
        <w:t>Tasso di mortalità infantile (0-1 anno) 102 per mille</w:t>
      </w:r>
    </w:p>
    <w:p w:rsidR="00B82115" w:rsidRPr="00B82115" w:rsidRDefault="00B82115" w:rsidP="00B82115">
      <w:pPr>
        <w:numPr>
          <w:ilvl w:val="0"/>
          <w:numId w:val="3"/>
        </w:numPr>
        <w:spacing w:before="100" w:beforeAutospacing="1" w:after="100" w:afterAutospacing="1" w:line="240" w:lineRule="auto"/>
        <w:rPr>
          <w:rFonts w:eastAsia="Times New Roman" w:cs="Times New Roman"/>
          <w:sz w:val="20"/>
          <w:szCs w:val="24"/>
          <w:lang w:eastAsia="it-IT"/>
        </w:rPr>
      </w:pPr>
      <w:r w:rsidRPr="00B82115">
        <w:rPr>
          <w:rFonts w:eastAsia="Times New Roman" w:cs="Times New Roman"/>
          <w:sz w:val="20"/>
          <w:szCs w:val="24"/>
          <w:lang w:eastAsia="it-IT"/>
        </w:rPr>
        <w:t>Tasso di analfabetismo: 65%</w:t>
      </w:r>
    </w:p>
    <w:p w:rsidR="00B82115" w:rsidRPr="00B82115" w:rsidRDefault="00B82115" w:rsidP="00B82115">
      <w:pPr>
        <w:numPr>
          <w:ilvl w:val="0"/>
          <w:numId w:val="3"/>
        </w:numPr>
        <w:spacing w:before="100" w:beforeAutospacing="1" w:after="100" w:afterAutospacing="1" w:line="240" w:lineRule="auto"/>
        <w:rPr>
          <w:rFonts w:eastAsia="Times New Roman" w:cs="Times New Roman"/>
          <w:sz w:val="20"/>
          <w:szCs w:val="24"/>
          <w:lang w:eastAsia="it-IT"/>
        </w:rPr>
      </w:pPr>
      <w:r w:rsidRPr="00B82115">
        <w:rPr>
          <w:rFonts w:eastAsia="Times New Roman" w:cs="Times New Roman"/>
          <w:sz w:val="20"/>
          <w:szCs w:val="24"/>
          <w:lang w:eastAsia="it-IT"/>
        </w:rPr>
        <w:t>Speranza di vita alla nascita: 53 anni (51 per gli uomini e 54 per le donne).</w:t>
      </w:r>
    </w:p>
    <w:p w:rsidR="00B82115" w:rsidRDefault="00B82115" w:rsidP="00B82115">
      <w:pPr>
        <w:spacing w:before="100" w:beforeAutospacing="1" w:after="100" w:afterAutospacing="1" w:line="240" w:lineRule="auto"/>
        <w:rPr>
          <w:rFonts w:eastAsia="Times New Roman" w:cs="Times New Roman"/>
          <w:sz w:val="20"/>
          <w:szCs w:val="24"/>
          <w:lang w:eastAsia="it-IT"/>
        </w:rPr>
      </w:pPr>
      <w:r w:rsidRPr="00B82115">
        <w:rPr>
          <w:rFonts w:eastAsia="Times New Roman" w:cs="Times New Roman"/>
          <w:sz w:val="20"/>
          <w:szCs w:val="24"/>
          <w:lang w:eastAsia="it-IT"/>
        </w:rPr>
        <w:t xml:space="preserve">L'alfabetizzazione è per gli uomini al 56% mentre al 43% per le donne. L'economia del Ciad è principalmente agricola, ma sta aumentando l'esportazione di petrolio, iniziata nel </w:t>
      </w:r>
      <w:hyperlink r:id="rId24" w:tooltip="2003" w:history="1">
        <w:r w:rsidRPr="00B82115">
          <w:rPr>
            <w:rFonts w:eastAsia="Times New Roman" w:cs="Times New Roman"/>
            <w:color w:val="0000FF"/>
            <w:sz w:val="20"/>
            <w:szCs w:val="24"/>
            <w:u w:val="single"/>
            <w:lang w:eastAsia="it-IT"/>
          </w:rPr>
          <w:t>2003</w:t>
        </w:r>
      </w:hyperlink>
      <w:r w:rsidRPr="00B82115">
        <w:rPr>
          <w:rFonts w:eastAsia="Times New Roman" w:cs="Times New Roman"/>
          <w:sz w:val="20"/>
          <w:szCs w:val="24"/>
          <w:lang w:eastAsia="it-IT"/>
        </w:rPr>
        <w:t xml:space="preserve">, da tre giacimenti petroliferi vicino </w:t>
      </w:r>
      <w:hyperlink r:id="rId25" w:tooltip="Doba (Ciad)" w:history="1">
        <w:proofErr w:type="spellStart"/>
        <w:r w:rsidRPr="00B82115">
          <w:rPr>
            <w:rFonts w:eastAsia="Times New Roman" w:cs="Times New Roman"/>
            <w:color w:val="0000FF"/>
            <w:sz w:val="20"/>
            <w:szCs w:val="24"/>
            <w:u w:val="single"/>
            <w:lang w:eastAsia="it-IT"/>
          </w:rPr>
          <w:t>Doba</w:t>
        </w:r>
        <w:proofErr w:type="spellEnd"/>
      </w:hyperlink>
      <w:r w:rsidRPr="00B82115">
        <w:rPr>
          <w:rFonts w:eastAsia="Times New Roman" w:cs="Times New Roman"/>
          <w:sz w:val="20"/>
          <w:szCs w:val="24"/>
          <w:lang w:eastAsia="it-IT"/>
        </w:rPr>
        <w:t xml:space="preserve">. È stato stimato che il reddito dal petrolio ha incrementato il reddito </w:t>
      </w:r>
      <w:proofErr w:type="spellStart"/>
      <w:r w:rsidRPr="00B82115">
        <w:rPr>
          <w:rFonts w:eastAsia="Times New Roman" w:cs="Times New Roman"/>
          <w:sz w:val="20"/>
          <w:szCs w:val="24"/>
          <w:lang w:eastAsia="it-IT"/>
        </w:rPr>
        <w:t>procapite</w:t>
      </w:r>
      <w:proofErr w:type="spellEnd"/>
      <w:r w:rsidRPr="00B82115">
        <w:rPr>
          <w:rFonts w:eastAsia="Times New Roman" w:cs="Times New Roman"/>
          <w:sz w:val="20"/>
          <w:szCs w:val="24"/>
          <w:lang w:eastAsia="it-IT"/>
        </w:rPr>
        <w:t xml:space="preserve"> del Ciad dal 40% nel </w:t>
      </w:r>
      <w:hyperlink r:id="rId26" w:tooltip="2004" w:history="1">
        <w:r w:rsidRPr="00B82115">
          <w:rPr>
            <w:rFonts w:eastAsia="Times New Roman" w:cs="Times New Roman"/>
            <w:color w:val="0000FF"/>
            <w:sz w:val="20"/>
            <w:szCs w:val="24"/>
            <w:u w:val="single"/>
            <w:lang w:eastAsia="it-IT"/>
          </w:rPr>
          <w:t>2004</w:t>
        </w:r>
      </w:hyperlink>
      <w:r w:rsidRPr="00B82115">
        <w:rPr>
          <w:rFonts w:eastAsia="Times New Roman" w:cs="Times New Roman"/>
          <w:sz w:val="20"/>
          <w:szCs w:val="24"/>
          <w:lang w:eastAsia="it-IT"/>
        </w:rPr>
        <w:t xml:space="preserve">, e può raddoppiare nel </w:t>
      </w:r>
      <w:hyperlink r:id="rId27" w:tooltip="2005" w:history="1">
        <w:r w:rsidRPr="00B82115">
          <w:rPr>
            <w:rFonts w:eastAsia="Times New Roman" w:cs="Times New Roman"/>
            <w:color w:val="0000FF"/>
            <w:sz w:val="20"/>
            <w:szCs w:val="24"/>
            <w:u w:val="single"/>
            <w:lang w:eastAsia="it-IT"/>
          </w:rPr>
          <w:t>2005</w:t>
        </w:r>
      </w:hyperlink>
      <w:r w:rsidRPr="00B82115">
        <w:rPr>
          <w:rFonts w:eastAsia="Times New Roman" w:cs="Times New Roman"/>
          <w:sz w:val="20"/>
          <w:szCs w:val="24"/>
          <w:lang w:eastAsia="it-IT"/>
        </w:rPr>
        <w:t xml:space="preserve"> (Petrolio prodotto nel 2007: 176.700 barili/giorno). Comunque nel 2007 il </w:t>
      </w:r>
      <w:proofErr w:type="spellStart"/>
      <w:r w:rsidRPr="00B82115">
        <w:rPr>
          <w:rFonts w:eastAsia="Times New Roman" w:cs="Times New Roman"/>
          <w:sz w:val="20"/>
          <w:szCs w:val="24"/>
          <w:lang w:eastAsia="it-IT"/>
        </w:rPr>
        <w:t>Pil</w:t>
      </w:r>
      <w:proofErr w:type="spellEnd"/>
      <w:r w:rsidRPr="00B82115">
        <w:rPr>
          <w:rFonts w:eastAsia="Times New Roman" w:cs="Times New Roman"/>
          <w:sz w:val="20"/>
          <w:szCs w:val="24"/>
          <w:lang w:eastAsia="it-IT"/>
        </w:rPr>
        <w:t xml:space="preserve"> </w:t>
      </w:r>
      <w:proofErr w:type="spellStart"/>
      <w:r w:rsidRPr="00B82115">
        <w:rPr>
          <w:rFonts w:eastAsia="Times New Roman" w:cs="Times New Roman"/>
          <w:sz w:val="20"/>
          <w:szCs w:val="24"/>
          <w:lang w:eastAsia="it-IT"/>
        </w:rPr>
        <w:t>procapite</w:t>
      </w:r>
      <w:proofErr w:type="spellEnd"/>
      <w:r w:rsidRPr="00B82115">
        <w:rPr>
          <w:rFonts w:eastAsia="Times New Roman" w:cs="Times New Roman"/>
          <w:sz w:val="20"/>
          <w:szCs w:val="24"/>
          <w:lang w:eastAsia="it-IT"/>
        </w:rPr>
        <w:t xml:space="preserve"> era di 1.700 dollari/anno e le spese militari erano pari al 4,2% del </w:t>
      </w:r>
      <w:proofErr w:type="spellStart"/>
      <w:r w:rsidRPr="00B82115">
        <w:rPr>
          <w:rFonts w:eastAsia="Times New Roman" w:cs="Times New Roman"/>
          <w:sz w:val="20"/>
          <w:szCs w:val="24"/>
          <w:lang w:eastAsia="it-IT"/>
        </w:rPr>
        <w:t>Pil</w:t>
      </w:r>
      <w:proofErr w:type="spellEnd"/>
      <w:r w:rsidRPr="00B82115">
        <w:rPr>
          <w:rFonts w:eastAsia="Times New Roman" w:cs="Times New Roman"/>
          <w:sz w:val="20"/>
          <w:szCs w:val="24"/>
          <w:lang w:eastAsia="it-IT"/>
        </w:rPr>
        <w:t xml:space="preserve">. L'economia del Ciad è stata lungamente svalorizzata dalla sua posizione geografica, comunicazioni interne povere, alti costi di energia, scarse risorse idriche ed una storia di instabilità. Fino ad ora, il Ciad ha contato sull'assistenza straniera e capitale straniero per molti settori per progetti di investimento pubblici e privati, ma il petrolio trasformerà le finanze del Governo. Un consorzio, legato alla compagnia </w:t>
      </w:r>
      <w:hyperlink r:id="rId28" w:tooltip="ExxonMobil" w:history="1">
        <w:proofErr w:type="spellStart"/>
        <w:r w:rsidRPr="00B82115">
          <w:rPr>
            <w:rFonts w:eastAsia="Times New Roman" w:cs="Times New Roman"/>
            <w:color w:val="0000FF"/>
            <w:sz w:val="20"/>
            <w:szCs w:val="24"/>
            <w:u w:val="single"/>
            <w:lang w:eastAsia="it-IT"/>
          </w:rPr>
          <w:t>ExxonMobil</w:t>
        </w:r>
        <w:proofErr w:type="spellEnd"/>
      </w:hyperlink>
      <w:r w:rsidRPr="00B82115">
        <w:rPr>
          <w:rFonts w:eastAsia="Times New Roman" w:cs="Times New Roman"/>
          <w:sz w:val="20"/>
          <w:szCs w:val="24"/>
          <w:lang w:eastAsia="it-IT"/>
        </w:rPr>
        <w:t xml:space="preserve"> (US), e con la partecipazione di </w:t>
      </w:r>
      <w:hyperlink r:id="rId29" w:tooltip="Chevron Corporation" w:history="1">
        <w:r w:rsidRPr="00B82115">
          <w:rPr>
            <w:rFonts w:eastAsia="Times New Roman" w:cs="Times New Roman"/>
            <w:color w:val="0000FF"/>
            <w:sz w:val="20"/>
            <w:szCs w:val="24"/>
            <w:u w:val="single"/>
            <w:lang w:eastAsia="it-IT"/>
          </w:rPr>
          <w:t>Chevron-Texaco</w:t>
        </w:r>
      </w:hyperlink>
      <w:r w:rsidRPr="00B82115">
        <w:rPr>
          <w:rFonts w:eastAsia="Times New Roman" w:cs="Times New Roman"/>
          <w:sz w:val="20"/>
          <w:szCs w:val="24"/>
          <w:lang w:eastAsia="it-IT"/>
        </w:rPr>
        <w:t xml:space="preserve"> (US) e </w:t>
      </w:r>
      <w:hyperlink r:id="rId30" w:tooltip="Petronas (azienda)" w:history="1">
        <w:r w:rsidRPr="00B82115">
          <w:rPr>
            <w:rFonts w:eastAsia="Times New Roman" w:cs="Times New Roman"/>
            <w:color w:val="0000FF"/>
            <w:sz w:val="20"/>
            <w:szCs w:val="24"/>
            <w:u w:val="single"/>
            <w:lang w:eastAsia="it-IT"/>
          </w:rPr>
          <w:t>Petronas</w:t>
        </w:r>
      </w:hyperlink>
      <w:r w:rsidRPr="00B82115">
        <w:rPr>
          <w:rFonts w:eastAsia="Times New Roman" w:cs="Times New Roman"/>
          <w:sz w:val="20"/>
          <w:szCs w:val="24"/>
          <w:lang w:eastAsia="it-IT"/>
        </w:rPr>
        <w:t xml:space="preserve"> (</w:t>
      </w:r>
      <w:proofErr w:type="spellStart"/>
      <w:r w:rsidRPr="00B82115">
        <w:rPr>
          <w:rFonts w:eastAsia="Times New Roman" w:cs="Times New Roman"/>
          <w:sz w:val="20"/>
          <w:szCs w:val="24"/>
          <w:lang w:eastAsia="it-IT"/>
        </w:rPr>
        <w:fldChar w:fldCharType="begin"/>
      </w:r>
      <w:r w:rsidRPr="00B82115">
        <w:rPr>
          <w:rFonts w:eastAsia="Times New Roman" w:cs="Times New Roman"/>
          <w:sz w:val="20"/>
          <w:szCs w:val="24"/>
          <w:lang w:eastAsia="it-IT"/>
        </w:rPr>
        <w:instrText xml:space="preserve"> HYPERLINK "https://it.wikipedia.org/wiki/Malaysia" \o "Malaysia" </w:instrText>
      </w:r>
      <w:r w:rsidRPr="00B82115">
        <w:rPr>
          <w:rFonts w:eastAsia="Times New Roman" w:cs="Times New Roman"/>
          <w:sz w:val="20"/>
          <w:szCs w:val="24"/>
          <w:lang w:eastAsia="it-IT"/>
        </w:rPr>
        <w:fldChar w:fldCharType="separate"/>
      </w:r>
      <w:r w:rsidRPr="00B82115">
        <w:rPr>
          <w:rFonts w:eastAsia="Times New Roman" w:cs="Times New Roman"/>
          <w:color w:val="0000FF"/>
          <w:sz w:val="20"/>
          <w:szCs w:val="24"/>
          <w:u w:val="single"/>
          <w:lang w:eastAsia="it-IT"/>
        </w:rPr>
        <w:t>Malaysia</w:t>
      </w:r>
      <w:proofErr w:type="spellEnd"/>
      <w:r w:rsidRPr="00B82115">
        <w:rPr>
          <w:rFonts w:eastAsia="Times New Roman" w:cs="Times New Roman"/>
          <w:sz w:val="20"/>
          <w:szCs w:val="24"/>
          <w:lang w:eastAsia="it-IT"/>
        </w:rPr>
        <w:fldChar w:fldCharType="end"/>
      </w:r>
      <w:r w:rsidRPr="00B82115">
        <w:rPr>
          <w:rFonts w:eastAsia="Times New Roman" w:cs="Times New Roman"/>
          <w:sz w:val="20"/>
          <w:szCs w:val="24"/>
          <w:lang w:eastAsia="it-IT"/>
        </w:rPr>
        <w:t xml:space="preserve">), ha investito $3.7 miliardi di dollari per sviluppare le riserve di petrolio a 1 miliardo di barili (0.2 km³) nel sud del Ciad, ed il Ciad è diventato un paese con la produzione di petrolio nel </w:t>
      </w:r>
      <w:hyperlink r:id="rId31" w:tooltip="2003" w:history="1">
        <w:r w:rsidRPr="00B82115">
          <w:rPr>
            <w:rFonts w:eastAsia="Times New Roman" w:cs="Times New Roman"/>
            <w:color w:val="0000FF"/>
            <w:sz w:val="20"/>
            <w:szCs w:val="24"/>
            <w:u w:val="single"/>
            <w:lang w:eastAsia="it-IT"/>
          </w:rPr>
          <w:t>2003</w:t>
        </w:r>
      </w:hyperlink>
      <w:r w:rsidRPr="00B82115">
        <w:rPr>
          <w:rFonts w:eastAsia="Times New Roman" w:cs="Times New Roman"/>
          <w:sz w:val="20"/>
          <w:szCs w:val="24"/>
          <w:lang w:eastAsia="it-IT"/>
        </w:rPr>
        <w:t xml:space="preserve">, con il completamento delle condutture (finanziate in parte dalla </w:t>
      </w:r>
      <w:hyperlink r:id="rId32" w:tooltip="Banca Mondiale" w:history="1">
        <w:r w:rsidRPr="00B82115">
          <w:rPr>
            <w:rFonts w:eastAsia="Times New Roman" w:cs="Times New Roman"/>
            <w:color w:val="0000FF"/>
            <w:sz w:val="20"/>
            <w:szCs w:val="24"/>
            <w:u w:val="single"/>
            <w:lang w:eastAsia="it-IT"/>
          </w:rPr>
          <w:t>Banca Mondiale</w:t>
        </w:r>
      </w:hyperlink>
      <w:r w:rsidRPr="00B82115">
        <w:rPr>
          <w:rFonts w:eastAsia="Times New Roman" w:cs="Times New Roman"/>
          <w:sz w:val="20"/>
          <w:szCs w:val="24"/>
          <w:lang w:eastAsia="it-IT"/>
        </w:rPr>
        <w:t xml:space="preserve">) collegando i suoi giacimenti di petrolio del sud ai terminali sulla costa atlantica grazie al vicino </w:t>
      </w:r>
      <w:hyperlink r:id="rId33" w:tooltip="Camerun" w:history="1">
        <w:r w:rsidRPr="00B82115">
          <w:rPr>
            <w:rFonts w:eastAsia="Times New Roman" w:cs="Times New Roman"/>
            <w:color w:val="0000FF"/>
            <w:sz w:val="20"/>
            <w:szCs w:val="24"/>
            <w:u w:val="single"/>
            <w:lang w:eastAsia="it-IT"/>
          </w:rPr>
          <w:t>Camerun</w:t>
        </w:r>
      </w:hyperlink>
      <w:r w:rsidRPr="00B82115">
        <w:rPr>
          <w:rFonts w:eastAsia="Times New Roman" w:cs="Times New Roman"/>
          <w:sz w:val="20"/>
          <w:szCs w:val="24"/>
          <w:lang w:eastAsia="it-IT"/>
        </w:rPr>
        <w:t xml:space="preserve">. Il Ciad spera di evitare lo spreco e la corruzione visto in altri paesi africani produttori di petrolio. Come una condizione della sua assistenza, la </w:t>
      </w:r>
      <w:hyperlink r:id="rId34" w:tooltip="Banca Mondiale" w:history="1">
        <w:r w:rsidRPr="00B82115">
          <w:rPr>
            <w:rFonts w:eastAsia="Times New Roman" w:cs="Times New Roman"/>
            <w:color w:val="0000FF"/>
            <w:sz w:val="20"/>
            <w:szCs w:val="24"/>
            <w:u w:val="single"/>
            <w:lang w:eastAsia="it-IT"/>
          </w:rPr>
          <w:t>Banca Mondiale</w:t>
        </w:r>
      </w:hyperlink>
      <w:r w:rsidRPr="00B82115">
        <w:rPr>
          <w:rFonts w:eastAsia="Times New Roman" w:cs="Times New Roman"/>
          <w:sz w:val="20"/>
          <w:szCs w:val="24"/>
          <w:lang w:eastAsia="it-IT"/>
        </w:rPr>
        <w:t xml:space="preserve"> ha insistito su una nuova legge che richiede che l'80% dei redditi dal petrolio estratto sarà speso su progetti di sviluppo. Questa condizione è stata rimossa dalla stessa World </w:t>
      </w:r>
      <w:proofErr w:type="spellStart"/>
      <w:r w:rsidRPr="00B82115">
        <w:rPr>
          <w:rFonts w:eastAsia="Times New Roman" w:cs="Times New Roman"/>
          <w:sz w:val="20"/>
          <w:szCs w:val="24"/>
          <w:lang w:eastAsia="it-IT"/>
        </w:rPr>
        <w:t>Bank</w:t>
      </w:r>
      <w:proofErr w:type="spellEnd"/>
      <w:r w:rsidRPr="00B82115">
        <w:rPr>
          <w:rFonts w:eastAsia="Times New Roman" w:cs="Times New Roman"/>
          <w:sz w:val="20"/>
          <w:szCs w:val="24"/>
          <w:lang w:eastAsia="it-IT"/>
        </w:rPr>
        <w:t xml:space="preserve"> dopo che il presidente </w:t>
      </w:r>
      <w:proofErr w:type="spellStart"/>
      <w:r w:rsidRPr="00B82115">
        <w:rPr>
          <w:rFonts w:eastAsia="Times New Roman" w:cs="Times New Roman"/>
          <w:sz w:val="20"/>
          <w:szCs w:val="24"/>
          <w:lang w:eastAsia="it-IT"/>
        </w:rPr>
        <w:t>Deby</w:t>
      </w:r>
      <w:proofErr w:type="spellEnd"/>
      <w:r w:rsidRPr="00B82115">
        <w:rPr>
          <w:rFonts w:eastAsia="Times New Roman" w:cs="Times New Roman"/>
          <w:sz w:val="20"/>
          <w:szCs w:val="24"/>
          <w:lang w:eastAsia="it-IT"/>
        </w:rPr>
        <w:t xml:space="preserve"> aveva minacciato di chiudere i rubinetti di </w:t>
      </w:r>
      <w:hyperlink r:id="rId35" w:tooltip="Elf Aquitaine" w:history="1">
        <w:proofErr w:type="spellStart"/>
        <w:r w:rsidRPr="00B82115">
          <w:rPr>
            <w:rFonts w:eastAsia="Times New Roman" w:cs="Times New Roman"/>
            <w:color w:val="0000FF"/>
            <w:sz w:val="20"/>
            <w:szCs w:val="24"/>
            <w:u w:val="single"/>
            <w:lang w:eastAsia="it-IT"/>
          </w:rPr>
          <w:t>Elf</w:t>
        </w:r>
        <w:proofErr w:type="spellEnd"/>
      </w:hyperlink>
      <w:r w:rsidRPr="00B82115">
        <w:rPr>
          <w:rFonts w:eastAsia="Times New Roman" w:cs="Times New Roman"/>
          <w:sz w:val="20"/>
          <w:szCs w:val="24"/>
          <w:lang w:eastAsia="it-IT"/>
        </w:rPr>
        <w:t xml:space="preserve"> ed </w:t>
      </w:r>
      <w:proofErr w:type="spellStart"/>
      <w:r w:rsidRPr="00B82115">
        <w:rPr>
          <w:rFonts w:eastAsia="Times New Roman" w:cs="Times New Roman"/>
          <w:sz w:val="20"/>
          <w:szCs w:val="24"/>
          <w:lang w:eastAsia="it-IT"/>
        </w:rPr>
        <w:t>Exxon</w:t>
      </w:r>
      <w:proofErr w:type="spellEnd"/>
      <w:r w:rsidRPr="00B82115">
        <w:rPr>
          <w:rFonts w:eastAsia="Times New Roman" w:cs="Times New Roman"/>
          <w:sz w:val="20"/>
          <w:szCs w:val="24"/>
          <w:lang w:eastAsia="it-IT"/>
        </w:rPr>
        <w:t xml:space="preserve">, nel giugno 2006. Il dittatore appena riconfermato con elezioni indecorose aveva appena subito una ribellione guidata dal suo stesso gruppo etnico. La ribellione, repressa con l'aiuto di militari francesi, ha provocato ondate di profughi verso i paesi vicini. Questo non ha impedito ad </w:t>
      </w:r>
      <w:proofErr w:type="spellStart"/>
      <w:r w:rsidRPr="00B82115">
        <w:rPr>
          <w:rFonts w:eastAsia="Times New Roman" w:cs="Times New Roman"/>
          <w:sz w:val="20"/>
          <w:szCs w:val="24"/>
          <w:lang w:eastAsia="it-IT"/>
        </w:rPr>
        <w:t>Exxon</w:t>
      </w:r>
      <w:proofErr w:type="spellEnd"/>
      <w:r w:rsidRPr="00B82115">
        <w:rPr>
          <w:rFonts w:eastAsia="Times New Roman" w:cs="Times New Roman"/>
          <w:sz w:val="20"/>
          <w:szCs w:val="24"/>
          <w:lang w:eastAsia="it-IT"/>
        </w:rPr>
        <w:t xml:space="preserve">, </w:t>
      </w:r>
      <w:proofErr w:type="spellStart"/>
      <w:r w:rsidRPr="00B82115">
        <w:rPr>
          <w:rFonts w:eastAsia="Times New Roman" w:cs="Times New Roman"/>
          <w:sz w:val="20"/>
          <w:szCs w:val="24"/>
          <w:lang w:eastAsia="it-IT"/>
        </w:rPr>
        <w:t>Elf</w:t>
      </w:r>
      <w:proofErr w:type="spellEnd"/>
      <w:r w:rsidRPr="00B82115">
        <w:rPr>
          <w:rFonts w:eastAsia="Times New Roman" w:cs="Times New Roman"/>
          <w:sz w:val="20"/>
          <w:szCs w:val="24"/>
          <w:lang w:eastAsia="it-IT"/>
        </w:rPr>
        <w:t xml:space="preserve">, Banca Mondiale e Cina di accordarsi con la dittatura per il raddoppio delle estrazioni petrolifere. Se la stabilità sarà mantenuta, la prospettiva per l'economia del Ciad è ora migliore di quanto non fosse mai stata. È risaputo che ulteriori riserve di </w:t>
      </w:r>
      <w:hyperlink r:id="rId36" w:tooltip="Petrolio" w:history="1">
        <w:r w:rsidRPr="00B82115">
          <w:rPr>
            <w:rFonts w:eastAsia="Times New Roman" w:cs="Times New Roman"/>
            <w:color w:val="0000FF"/>
            <w:sz w:val="20"/>
            <w:szCs w:val="24"/>
            <w:u w:val="single"/>
            <w:lang w:eastAsia="it-IT"/>
          </w:rPr>
          <w:t>petrolio</w:t>
        </w:r>
      </w:hyperlink>
      <w:r w:rsidRPr="00B82115">
        <w:rPr>
          <w:rFonts w:eastAsia="Times New Roman" w:cs="Times New Roman"/>
          <w:sz w:val="20"/>
          <w:szCs w:val="24"/>
          <w:lang w:eastAsia="it-IT"/>
        </w:rPr>
        <w:t xml:space="preserve"> esistono all'interno del paese, in aggiunta ai campi petroliferi già sfruttati. </w:t>
      </w:r>
    </w:p>
    <w:p w:rsidR="00B82115" w:rsidRPr="00B82115" w:rsidRDefault="00B82115" w:rsidP="00B82115">
      <w:pPr>
        <w:pStyle w:val="Paragrafoelenco"/>
        <w:numPr>
          <w:ilvl w:val="0"/>
          <w:numId w:val="4"/>
        </w:numPr>
        <w:spacing w:before="100" w:beforeAutospacing="1" w:after="100" w:afterAutospacing="1" w:line="240" w:lineRule="auto"/>
        <w:rPr>
          <w:rFonts w:eastAsia="Times New Roman" w:cs="Times New Roman"/>
          <w:sz w:val="20"/>
          <w:szCs w:val="24"/>
          <w:lang w:eastAsia="it-IT"/>
        </w:rPr>
      </w:pPr>
      <w:r w:rsidRPr="00B82115">
        <w:rPr>
          <w:rFonts w:eastAsia="Times New Roman" w:cs="Times New Roman"/>
          <w:sz w:val="20"/>
          <w:szCs w:val="24"/>
          <w:lang w:eastAsia="it-IT"/>
        </w:rPr>
        <w:t xml:space="preserve">Il Ciad è una </w:t>
      </w:r>
      <w:hyperlink r:id="rId37" w:tooltip="Repubblica presidenziale" w:history="1">
        <w:r w:rsidRPr="00B82115">
          <w:rPr>
            <w:rFonts w:eastAsia="Times New Roman" w:cs="Times New Roman"/>
            <w:color w:val="0000FF"/>
            <w:sz w:val="20"/>
            <w:szCs w:val="24"/>
            <w:u w:val="single"/>
            <w:lang w:eastAsia="it-IT"/>
          </w:rPr>
          <w:t>repubblica presidenziale</w:t>
        </w:r>
      </w:hyperlink>
      <w:r w:rsidRPr="00B82115">
        <w:rPr>
          <w:rFonts w:eastAsia="Times New Roman" w:cs="Times New Roman"/>
          <w:sz w:val="20"/>
          <w:szCs w:val="24"/>
          <w:lang w:eastAsia="it-IT"/>
        </w:rPr>
        <w:t xml:space="preserve"> governata dal presidente </w:t>
      </w:r>
      <w:hyperlink r:id="rId38" w:tooltip="Idriss Déby" w:history="1">
        <w:proofErr w:type="spellStart"/>
        <w:r w:rsidRPr="00B82115">
          <w:rPr>
            <w:rFonts w:eastAsia="Times New Roman" w:cs="Times New Roman"/>
            <w:color w:val="0000FF"/>
            <w:sz w:val="20"/>
            <w:szCs w:val="24"/>
            <w:u w:val="single"/>
            <w:lang w:eastAsia="it-IT"/>
          </w:rPr>
          <w:t>Idriss</w:t>
        </w:r>
        <w:proofErr w:type="spellEnd"/>
        <w:r w:rsidRPr="00B82115">
          <w:rPr>
            <w:rFonts w:eastAsia="Times New Roman" w:cs="Times New Roman"/>
            <w:color w:val="0000FF"/>
            <w:sz w:val="20"/>
            <w:szCs w:val="24"/>
            <w:u w:val="single"/>
            <w:lang w:eastAsia="it-IT"/>
          </w:rPr>
          <w:t xml:space="preserve"> </w:t>
        </w:r>
        <w:proofErr w:type="spellStart"/>
        <w:r w:rsidRPr="00B82115">
          <w:rPr>
            <w:rFonts w:eastAsia="Times New Roman" w:cs="Times New Roman"/>
            <w:color w:val="0000FF"/>
            <w:sz w:val="20"/>
            <w:szCs w:val="24"/>
            <w:u w:val="single"/>
            <w:lang w:eastAsia="it-IT"/>
          </w:rPr>
          <w:t>Déby</w:t>
        </w:r>
        <w:proofErr w:type="spellEnd"/>
      </w:hyperlink>
      <w:r w:rsidRPr="00B82115">
        <w:rPr>
          <w:rFonts w:eastAsia="Times New Roman" w:cs="Times New Roman"/>
          <w:sz w:val="20"/>
          <w:szCs w:val="24"/>
          <w:lang w:eastAsia="it-IT"/>
        </w:rPr>
        <w:t xml:space="preserve">, esponente del Movimento Patriottico della Salvezza. </w:t>
      </w:r>
      <w:proofErr w:type="spellStart"/>
      <w:r w:rsidRPr="00B82115">
        <w:rPr>
          <w:rFonts w:eastAsia="Times New Roman" w:cs="Times New Roman"/>
          <w:sz w:val="20"/>
          <w:szCs w:val="24"/>
          <w:lang w:eastAsia="it-IT"/>
        </w:rPr>
        <w:t>Déby</w:t>
      </w:r>
      <w:proofErr w:type="spellEnd"/>
      <w:r w:rsidRPr="00B82115">
        <w:rPr>
          <w:rFonts w:eastAsia="Times New Roman" w:cs="Times New Roman"/>
          <w:sz w:val="20"/>
          <w:szCs w:val="24"/>
          <w:lang w:eastAsia="it-IT"/>
        </w:rPr>
        <w:t xml:space="preserve"> salì al potere nel 1990 con un colpo di Stato militare e poi fu eletto costituzionalmente nel </w:t>
      </w:r>
      <w:hyperlink r:id="rId39" w:tooltip="1996" w:history="1">
        <w:r w:rsidRPr="00B82115">
          <w:rPr>
            <w:rFonts w:eastAsia="Times New Roman" w:cs="Times New Roman"/>
            <w:color w:val="0000FF"/>
            <w:sz w:val="20"/>
            <w:szCs w:val="24"/>
            <w:u w:val="single"/>
            <w:lang w:eastAsia="it-IT"/>
          </w:rPr>
          <w:t>1996</w:t>
        </w:r>
      </w:hyperlink>
      <w:r w:rsidRPr="00B82115">
        <w:rPr>
          <w:rFonts w:eastAsia="Times New Roman" w:cs="Times New Roman"/>
          <w:sz w:val="20"/>
          <w:szCs w:val="24"/>
          <w:lang w:eastAsia="it-IT"/>
        </w:rPr>
        <w:t xml:space="preserve">, </w:t>
      </w:r>
      <w:hyperlink r:id="rId40" w:tooltip="2001" w:history="1">
        <w:r w:rsidRPr="00B82115">
          <w:rPr>
            <w:rFonts w:eastAsia="Times New Roman" w:cs="Times New Roman"/>
            <w:color w:val="0000FF"/>
            <w:sz w:val="20"/>
            <w:szCs w:val="24"/>
            <w:u w:val="single"/>
            <w:lang w:eastAsia="it-IT"/>
          </w:rPr>
          <w:t>2001</w:t>
        </w:r>
      </w:hyperlink>
      <w:r w:rsidRPr="00B82115">
        <w:rPr>
          <w:rFonts w:eastAsia="Times New Roman" w:cs="Times New Roman"/>
          <w:sz w:val="20"/>
          <w:szCs w:val="24"/>
          <w:lang w:eastAsia="it-IT"/>
        </w:rPr>
        <w:t xml:space="preserve">, </w:t>
      </w:r>
      <w:hyperlink r:id="rId41" w:tooltip="2006" w:history="1">
        <w:r w:rsidRPr="00B82115">
          <w:rPr>
            <w:rFonts w:eastAsia="Times New Roman" w:cs="Times New Roman"/>
            <w:color w:val="0000FF"/>
            <w:sz w:val="20"/>
            <w:szCs w:val="24"/>
            <w:u w:val="single"/>
            <w:lang w:eastAsia="it-IT"/>
          </w:rPr>
          <w:t>2006</w:t>
        </w:r>
      </w:hyperlink>
      <w:r w:rsidRPr="00B82115">
        <w:rPr>
          <w:rFonts w:eastAsia="Times New Roman" w:cs="Times New Roman"/>
          <w:sz w:val="20"/>
          <w:szCs w:val="24"/>
          <w:lang w:eastAsia="it-IT"/>
        </w:rPr>
        <w:t xml:space="preserve">, </w:t>
      </w:r>
      <w:hyperlink r:id="rId42" w:tooltip="2011" w:history="1">
        <w:r w:rsidRPr="00B82115">
          <w:rPr>
            <w:rFonts w:eastAsia="Times New Roman" w:cs="Times New Roman"/>
            <w:color w:val="0000FF"/>
            <w:sz w:val="20"/>
            <w:szCs w:val="24"/>
            <w:u w:val="single"/>
            <w:lang w:eastAsia="it-IT"/>
          </w:rPr>
          <w:t>2011</w:t>
        </w:r>
      </w:hyperlink>
      <w:r w:rsidRPr="00B82115">
        <w:rPr>
          <w:rFonts w:eastAsia="Times New Roman" w:cs="Times New Roman"/>
          <w:sz w:val="20"/>
          <w:szCs w:val="24"/>
          <w:lang w:eastAsia="it-IT"/>
        </w:rPr>
        <w:t xml:space="preserve"> e </w:t>
      </w:r>
      <w:hyperlink r:id="rId43" w:tooltip="2016" w:history="1">
        <w:r w:rsidRPr="00B82115">
          <w:rPr>
            <w:rFonts w:eastAsia="Times New Roman" w:cs="Times New Roman"/>
            <w:color w:val="0000FF"/>
            <w:sz w:val="20"/>
            <w:szCs w:val="24"/>
            <w:u w:val="single"/>
            <w:lang w:eastAsia="it-IT"/>
          </w:rPr>
          <w:t>2016</w:t>
        </w:r>
      </w:hyperlink>
      <w:r w:rsidRPr="00B82115">
        <w:rPr>
          <w:rFonts w:eastAsia="Times New Roman" w:cs="Times New Roman"/>
          <w:sz w:val="20"/>
          <w:szCs w:val="24"/>
          <w:lang w:eastAsia="it-IT"/>
        </w:rPr>
        <w:t xml:space="preserve">, sebbene gli osservatori internazionali abbiano rilevato irregolarità nel processo elettorale. L'accesso alla carica di Presidente del Ciad fu limitato a due mandati fino a che </w:t>
      </w:r>
      <w:proofErr w:type="spellStart"/>
      <w:r w:rsidRPr="00B82115">
        <w:rPr>
          <w:rFonts w:eastAsia="Times New Roman" w:cs="Times New Roman"/>
          <w:sz w:val="20"/>
          <w:szCs w:val="24"/>
          <w:lang w:eastAsia="it-IT"/>
        </w:rPr>
        <w:t>Déby</w:t>
      </w:r>
      <w:proofErr w:type="spellEnd"/>
      <w:r w:rsidRPr="00B82115">
        <w:rPr>
          <w:rFonts w:eastAsia="Times New Roman" w:cs="Times New Roman"/>
          <w:sz w:val="20"/>
          <w:szCs w:val="24"/>
          <w:lang w:eastAsia="it-IT"/>
        </w:rPr>
        <w:t xml:space="preserve"> rimosse il divieto nel </w:t>
      </w:r>
      <w:hyperlink r:id="rId44" w:tooltip="2005" w:history="1">
        <w:r w:rsidRPr="00B82115">
          <w:rPr>
            <w:rFonts w:eastAsia="Times New Roman" w:cs="Times New Roman"/>
            <w:color w:val="0000FF"/>
            <w:sz w:val="20"/>
            <w:szCs w:val="24"/>
            <w:u w:val="single"/>
            <w:lang w:eastAsia="it-IT"/>
          </w:rPr>
          <w:t>2005</w:t>
        </w:r>
      </w:hyperlink>
      <w:r w:rsidRPr="00B82115">
        <w:rPr>
          <w:rFonts w:eastAsia="Times New Roman" w:cs="Times New Roman"/>
          <w:sz w:val="20"/>
          <w:szCs w:val="24"/>
          <w:lang w:eastAsia="it-IT"/>
        </w:rPr>
        <w:t xml:space="preserve">. Il Presidente è eletto a suffragio universale dai maggiori di 18 anni. Il Presidente nomina il Consiglio di Stato, ed esercita una considerevole influenza sulle nomine di giudici, generali, funzionari provinciali e dirigenti delle ditte parastatali del Ciad. La branca legislativa del Ciad consiste in un'Assemblea nazionale unicamerale. Fino al </w:t>
      </w:r>
      <w:hyperlink r:id="rId45" w:tooltip="2018" w:history="1">
        <w:r w:rsidRPr="00B82115">
          <w:rPr>
            <w:rFonts w:eastAsia="Times New Roman" w:cs="Times New Roman"/>
            <w:color w:val="0000FF"/>
            <w:sz w:val="20"/>
            <w:szCs w:val="24"/>
            <w:u w:val="single"/>
            <w:lang w:eastAsia="it-IT"/>
          </w:rPr>
          <w:t>2018</w:t>
        </w:r>
      </w:hyperlink>
      <w:r w:rsidRPr="00B82115">
        <w:rPr>
          <w:rFonts w:eastAsia="Times New Roman" w:cs="Times New Roman"/>
          <w:sz w:val="20"/>
          <w:szCs w:val="24"/>
          <w:lang w:eastAsia="it-IT"/>
        </w:rPr>
        <w:t xml:space="preserve"> esisteva anche la carica di </w:t>
      </w:r>
      <w:hyperlink r:id="rId46" w:tooltip="Primi ministri del Ciad" w:history="1">
        <w:r w:rsidRPr="00B82115">
          <w:rPr>
            <w:rFonts w:eastAsia="Times New Roman" w:cs="Times New Roman"/>
            <w:color w:val="0000FF"/>
            <w:sz w:val="20"/>
            <w:szCs w:val="24"/>
            <w:u w:val="single"/>
            <w:lang w:eastAsia="it-IT"/>
          </w:rPr>
          <w:t>Primo ministro</w:t>
        </w:r>
      </w:hyperlink>
      <w:r w:rsidRPr="00B82115">
        <w:rPr>
          <w:rFonts w:eastAsia="Times New Roman" w:cs="Times New Roman"/>
          <w:sz w:val="20"/>
          <w:szCs w:val="24"/>
          <w:lang w:eastAsia="it-IT"/>
        </w:rPr>
        <w:t xml:space="preserve">, poi abolita.  Il ramo giudiziario consiste di una Suprema Corte, una Corte di Appello e una corte di magistrati. </w:t>
      </w:r>
    </w:p>
    <w:p w:rsidR="00103FAC" w:rsidRPr="00B82115" w:rsidRDefault="00B82115" w:rsidP="00103FAC">
      <w:pPr>
        <w:rPr>
          <w:rFonts w:cs="Times New Roman"/>
          <w:b/>
          <w:sz w:val="20"/>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1226697</wp:posOffset>
                </wp:positionH>
                <wp:positionV relativeFrom="paragraph">
                  <wp:posOffset>580841</wp:posOffset>
                </wp:positionV>
                <wp:extent cx="2138516" cy="287593"/>
                <wp:effectExtent l="0" t="0" r="14605" b="17780"/>
                <wp:wrapNone/>
                <wp:docPr id="6" name="Casella di testo 6"/>
                <wp:cNvGraphicFramePr/>
                <a:graphic xmlns:a="http://schemas.openxmlformats.org/drawingml/2006/main">
                  <a:graphicData uri="http://schemas.microsoft.com/office/word/2010/wordprocessingShape">
                    <wps:wsp>
                      <wps:cNvSpPr txBox="1"/>
                      <wps:spPr>
                        <a:xfrm>
                          <a:off x="0" y="0"/>
                          <a:ext cx="2138516" cy="2875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2115" w:rsidRPr="00B82115" w:rsidRDefault="00B82115">
                            <w:pPr>
                              <w:rPr>
                                <w:sz w:val="20"/>
                              </w:rPr>
                            </w:pPr>
                            <w:r w:rsidRPr="00B82115">
                              <w:rPr>
                                <w:sz w:val="20"/>
                              </w:rP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6" o:spid="_x0000_s1027" type="#_x0000_t202" style="position:absolute;margin-left:96.6pt;margin-top:45.75pt;width:168.4pt;height:2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" fillcolor="white [3201]" strokeweight=".5pt">
                <v:textbox>
                  <w:txbxContent>
                    <w:p w:rsidR="00B82115" w:rsidRPr="00B82115" w:rsidRDefault="00B82115">
                      <w:pPr>
                        <w:rPr>
                          <w:sz w:val="20"/>
                        </w:rPr>
                      </w:pPr>
                      <w:r w:rsidRPr="00B82115">
                        <w:rPr>
                          <w:sz w:val="20"/>
                        </w:rPr>
                        <w:t>Cartina rappresentativa dello stato.</w:t>
                      </w:r>
                    </w:p>
                  </w:txbxContent>
                </v:textbox>
              </v:shape>
            </w:pict>
          </mc:Fallback>
        </mc:AlternateContent>
      </w:r>
      <w:r>
        <w:rPr>
          <w:noProof/>
          <w:lang w:eastAsia="it-IT"/>
        </w:rPr>
        <w:drawing>
          <wp:inline distT="0" distB="0" distL="0" distR="0">
            <wp:extent cx="899652" cy="1421659"/>
            <wp:effectExtent l="0" t="0" r="0" b="7620"/>
            <wp:docPr id="3" name="Immagine 3" descr="Ciad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ad - Mapp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5891" cy="1447320"/>
                    </a:xfrm>
                    <a:prstGeom prst="rect">
                      <a:avLst/>
                    </a:prstGeom>
                    <a:noFill/>
                    <a:ln>
                      <a:noFill/>
                    </a:ln>
                  </pic:spPr>
                </pic:pic>
              </a:graphicData>
            </a:graphic>
          </wp:inline>
        </w:drawing>
      </w:r>
      <w:bookmarkStart w:id="0" w:name="_GoBack"/>
      <w:bookmarkEnd w:id="0"/>
    </w:p>
    <w:sectPr w:rsidR="00103FAC" w:rsidRPr="00B82115">
      <w:headerReference w:type="default" r:id="rId4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82" w:rsidRDefault="00AB7682" w:rsidP="00AB7682">
      <w:pPr>
        <w:spacing w:after="0" w:line="240" w:lineRule="auto"/>
      </w:pPr>
      <w:r>
        <w:separator/>
      </w:r>
    </w:p>
  </w:endnote>
  <w:endnote w:type="continuationSeparator" w:id="0">
    <w:p w:rsidR="00AB7682" w:rsidRDefault="00AB7682" w:rsidP="00AB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82" w:rsidRDefault="00AB7682" w:rsidP="00AB7682">
      <w:pPr>
        <w:spacing w:after="0" w:line="240" w:lineRule="auto"/>
      </w:pPr>
      <w:r>
        <w:separator/>
      </w:r>
    </w:p>
  </w:footnote>
  <w:footnote w:type="continuationSeparator" w:id="0">
    <w:p w:rsidR="00AB7682" w:rsidRDefault="00AB7682" w:rsidP="00AB7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82" w:rsidRDefault="00AB7682">
    <w:pPr>
      <w:pStyle w:val="Intestazione"/>
    </w:pPr>
    <w:r>
      <w:t>PRESENTAZIONE: CIAD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F02"/>
    <w:multiLevelType w:val="multilevel"/>
    <w:tmpl w:val="8148248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B6B52"/>
    <w:multiLevelType w:val="hybridMultilevel"/>
    <w:tmpl w:val="D6D89F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20F3EA1"/>
    <w:multiLevelType w:val="hybridMultilevel"/>
    <w:tmpl w:val="B41C1D4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9A20625"/>
    <w:multiLevelType w:val="multilevel"/>
    <w:tmpl w:val="B1D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82"/>
    <w:rsid w:val="00103FAC"/>
    <w:rsid w:val="00737D2C"/>
    <w:rsid w:val="00AB7682"/>
    <w:rsid w:val="00B82115"/>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76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7682"/>
  </w:style>
  <w:style w:type="paragraph" w:styleId="Pidipagina">
    <w:name w:val="footer"/>
    <w:basedOn w:val="Normale"/>
    <w:link w:val="PidipaginaCarattere"/>
    <w:uiPriority w:val="99"/>
    <w:unhideWhenUsed/>
    <w:rsid w:val="00AB76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7682"/>
  </w:style>
  <w:style w:type="paragraph" w:styleId="Testofumetto">
    <w:name w:val="Balloon Text"/>
    <w:basedOn w:val="Normale"/>
    <w:link w:val="TestofumettoCarattere"/>
    <w:uiPriority w:val="99"/>
    <w:semiHidden/>
    <w:unhideWhenUsed/>
    <w:rsid w:val="00AB76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7682"/>
    <w:rPr>
      <w:rFonts w:ascii="Tahoma" w:hAnsi="Tahoma" w:cs="Tahoma"/>
      <w:sz w:val="16"/>
      <w:szCs w:val="16"/>
    </w:rPr>
  </w:style>
  <w:style w:type="paragraph" w:styleId="NormaleWeb">
    <w:name w:val="Normal (Web)"/>
    <w:basedOn w:val="Normale"/>
    <w:uiPriority w:val="99"/>
    <w:semiHidden/>
    <w:unhideWhenUsed/>
    <w:rsid w:val="00103F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03FAC"/>
    <w:rPr>
      <w:color w:val="0000FF"/>
      <w:u w:val="single"/>
    </w:rPr>
  </w:style>
  <w:style w:type="paragraph" w:styleId="Paragrafoelenco">
    <w:name w:val="List Paragraph"/>
    <w:basedOn w:val="Normale"/>
    <w:uiPriority w:val="34"/>
    <w:qFormat/>
    <w:rsid w:val="00B821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76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7682"/>
  </w:style>
  <w:style w:type="paragraph" w:styleId="Pidipagina">
    <w:name w:val="footer"/>
    <w:basedOn w:val="Normale"/>
    <w:link w:val="PidipaginaCarattere"/>
    <w:uiPriority w:val="99"/>
    <w:unhideWhenUsed/>
    <w:rsid w:val="00AB76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7682"/>
  </w:style>
  <w:style w:type="paragraph" w:styleId="Testofumetto">
    <w:name w:val="Balloon Text"/>
    <w:basedOn w:val="Normale"/>
    <w:link w:val="TestofumettoCarattere"/>
    <w:uiPriority w:val="99"/>
    <w:semiHidden/>
    <w:unhideWhenUsed/>
    <w:rsid w:val="00AB76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7682"/>
    <w:rPr>
      <w:rFonts w:ascii="Tahoma" w:hAnsi="Tahoma" w:cs="Tahoma"/>
      <w:sz w:val="16"/>
      <w:szCs w:val="16"/>
    </w:rPr>
  </w:style>
  <w:style w:type="paragraph" w:styleId="NormaleWeb">
    <w:name w:val="Normal (Web)"/>
    <w:basedOn w:val="Normale"/>
    <w:uiPriority w:val="99"/>
    <w:semiHidden/>
    <w:unhideWhenUsed/>
    <w:rsid w:val="00103F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03FAC"/>
    <w:rPr>
      <w:color w:val="0000FF"/>
      <w:u w:val="single"/>
    </w:rPr>
  </w:style>
  <w:style w:type="paragraph" w:styleId="Paragrafoelenco">
    <w:name w:val="List Paragraph"/>
    <w:basedOn w:val="Normale"/>
    <w:uiPriority w:val="34"/>
    <w:qFormat/>
    <w:rsid w:val="00B8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5846">
      <w:bodyDiv w:val="1"/>
      <w:marLeft w:val="0"/>
      <w:marRight w:val="0"/>
      <w:marTop w:val="0"/>
      <w:marBottom w:val="0"/>
      <w:divBdr>
        <w:top w:val="none" w:sz="0" w:space="0" w:color="auto"/>
        <w:left w:val="none" w:sz="0" w:space="0" w:color="auto"/>
        <w:bottom w:val="none" w:sz="0" w:space="0" w:color="auto"/>
        <w:right w:val="none" w:sz="0" w:space="0" w:color="auto"/>
      </w:divBdr>
    </w:div>
    <w:div w:id="390616994">
      <w:bodyDiv w:val="1"/>
      <w:marLeft w:val="0"/>
      <w:marRight w:val="0"/>
      <w:marTop w:val="0"/>
      <w:marBottom w:val="0"/>
      <w:divBdr>
        <w:top w:val="none" w:sz="0" w:space="0" w:color="auto"/>
        <w:left w:val="none" w:sz="0" w:space="0" w:color="auto"/>
        <w:bottom w:val="none" w:sz="0" w:space="0" w:color="auto"/>
        <w:right w:val="none" w:sz="0" w:space="0" w:color="auto"/>
      </w:divBdr>
    </w:div>
    <w:div w:id="529729071">
      <w:bodyDiv w:val="1"/>
      <w:marLeft w:val="0"/>
      <w:marRight w:val="0"/>
      <w:marTop w:val="0"/>
      <w:marBottom w:val="0"/>
      <w:divBdr>
        <w:top w:val="none" w:sz="0" w:space="0" w:color="auto"/>
        <w:left w:val="none" w:sz="0" w:space="0" w:color="auto"/>
        <w:bottom w:val="none" w:sz="0" w:space="0" w:color="auto"/>
        <w:right w:val="none" w:sz="0" w:space="0" w:color="auto"/>
      </w:divBdr>
    </w:div>
    <w:div w:id="1020860998">
      <w:bodyDiv w:val="1"/>
      <w:marLeft w:val="0"/>
      <w:marRight w:val="0"/>
      <w:marTop w:val="0"/>
      <w:marBottom w:val="0"/>
      <w:divBdr>
        <w:top w:val="none" w:sz="0" w:space="0" w:color="auto"/>
        <w:left w:val="none" w:sz="0" w:space="0" w:color="auto"/>
        <w:bottom w:val="none" w:sz="0" w:space="0" w:color="auto"/>
        <w:right w:val="none" w:sz="0" w:space="0" w:color="auto"/>
      </w:divBdr>
    </w:div>
    <w:div w:id="1343775441">
      <w:bodyDiv w:val="1"/>
      <w:marLeft w:val="0"/>
      <w:marRight w:val="0"/>
      <w:marTop w:val="0"/>
      <w:marBottom w:val="0"/>
      <w:divBdr>
        <w:top w:val="none" w:sz="0" w:space="0" w:color="auto"/>
        <w:left w:val="none" w:sz="0" w:space="0" w:color="auto"/>
        <w:bottom w:val="none" w:sz="0" w:space="0" w:color="auto"/>
        <w:right w:val="none" w:sz="0" w:space="0" w:color="auto"/>
      </w:divBdr>
    </w:div>
    <w:div w:id="17042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Lingue_sahariane" TargetMode="External"/><Relationship Id="rId18" Type="http://schemas.openxmlformats.org/officeDocument/2006/relationships/hyperlink" Target="https://it.wikipedia.org/wiki/2002" TargetMode="External"/><Relationship Id="rId26" Type="http://schemas.openxmlformats.org/officeDocument/2006/relationships/hyperlink" Target="https://it.wikipedia.org/wiki/2004" TargetMode="External"/><Relationship Id="rId39" Type="http://schemas.openxmlformats.org/officeDocument/2006/relationships/hyperlink" Target="https://it.wikipedia.org/wiki/1996" TargetMode="External"/><Relationship Id="rId21" Type="http://schemas.openxmlformats.org/officeDocument/2006/relationships/hyperlink" Target="https://it.wikipedia.org/wiki/2012" TargetMode="External"/><Relationship Id="rId34" Type="http://schemas.openxmlformats.org/officeDocument/2006/relationships/hyperlink" Target="https://it.wikipedia.org/wiki/Banca_Mondiale" TargetMode="External"/><Relationship Id="rId42" Type="http://schemas.openxmlformats.org/officeDocument/2006/relationships/hyperlink" Target="https://it.wikipedia.org/wiki/2011" TargetMode="Externa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t.wikipedia.org/w/index.php?title=Subprefetture_del_Ciad&amp;action=edit&amp;redlink=1" TargetMode="External"/><Relationship Id="rId29" Type="http://schemas.openxmlformats.org/officeDocument/2006/relationships/hyperlink" Target="https://it.wikipedia.org/wiki/Chevron_Corporation" TargetMode="External"/><Relationship Id="rId11" Type="http://schemas.openxmlformats.org/officeDocument/2006/relationships/hyperlink" Target="https://it.wikipedia.org/w/index.php?title=Sara_(popolo)&amp;action=edit&amp;redlink=1" TargetMode="External"/><Relationship Id="rId24" Type="http://schemas.openxmlformats.org/officeDocument/2006/relationships/hyperlink" Target="https://it.wikipedia.org/wiki/2003" TargetMode="External"/><Relationship Id="rId32" Type="http://schemas.openxmlformats.org/officeDocument/2006/relationships/hyperlink" Target="https://it.wikipedia.org/wiki/Banca_Mondiale" TargetMode="External"/><Relationship Id="rId37" Type="http://schemas.openxmlformats.org/officeDocument/2006/relationships/hyperlink" Target="https://it.wikipedia.org/wiki/Repubblica_presidenziale" TargetMode="External"/><Relationship Id="rId40" Type="http://schemas.openxmlformats.org/officeDocument/2006/relationships/hyperlink" Target="https://it.wikipedia.org/wiki/2001" TargetMode="External"/><Relationship Id="rId45" Type="http://schemas.openxmlformats.org/officeDocument/2006/relationships/hyperlink" Target="https://it.wikipedia.org/wiki/2018" TargetMode="External"/><Relationship Id="rId5" Type="http://schemas.openxmlformats.org/officeDocument/2006/relationships/webSettings" Target="webSettings.xml"/><Relationship Id="rId15" Type="http://schemas.openxmlformats.org/officeDocument/2006/relationships/hyperlink" Target="https://it.wikipedia.org/wiki/Dipartimenti_del_Ciad" TargetMode="External"/><Relationship Id="rId23" Type="http://schemas.openxmlformats.org/officeDocument/2006/relationships/hyperlink" Target="https://it.wikipedia.org/wiki/Ciad" TargetMode="External"/><Relationship Id="rId28" Type="http://schemas.openxmlformats.org/officeDocument/2006/relationships/hyperlink" Target="https://it.wikipedia.org/wiki/ExxonMobil" TargetMode="External"/><Relationship Id="rId36" Type="http://schemas.openxmlformats.org/officeDocument/2006/relationships/hyperlink" Target="https://it.wikipedia.org/wiki/Petrolio" TargetMode="External"/><Relationship Id="rId49" Type="http://schemas.openxmlformats.org/officeDocument/2006/relationships/fontTable" Target="fontTable.xml"/><Relationship Id="rId10" Type="http://schemas.openxmlformats.org/officeDocument/2006/relationships/hyperlink" Target="https://it.wikipedia.org/wiki/Egitto" TargetMode="External"/><Relationship Id="rId19" Type="http://schemas.openxmlformats.org/officeDocument/2006/relationships/hyperlink" Target="https://it.wikipedia.org/wiki/Ciad" TargetMode="External"/><Relationship Id="rId31" Type="http://schemas.openxmlformats.org/officeDocument/2006/relationships/hyperlink" Target="https://it.wikipedia.org/wiki/2003" TargetMode="External"/><Relationship Id="rId44" Type="http://schemas.openxmlformats.org/officeDocument/2006/relationships/hyperlink" Target="https://it.wikipedia.org/wiki/2005" TargetMode="External"/><Relationship Id="rId4" Type="http://schemas.openxmlformats.org/officeDocument/2006/relationships/settings" Target="settings.xml"/><Relationship Id="rId9" Type="http://schemas.openxmlformats.org/officeDocument/2006/relationships/hyperlink" Target="https://it.wikipedia.org/wiki/Sudan" TargetMode="External"/><Relationship Id="rId14" Type="http://schemas.openxmlformats.org/officeDocument/2006/relationships/hyperlink" Target="https://it.wikipedia.org/wiki/Regioni_del_Ciad" TargetMode="External"/><Relationship Id="rId22" Type="http://schemas.openxmlformats.org/officeDocument/2006/relationships/hyperlink" Target="https://it.wikipedia.org/wiki/Ciad" TargetMode="External"/><Relationship Id="rId27" Type="http://schemas.openxmlformats.org/officeDocument/2006/relationships/hyperlink" Target="https://it.wikipedia.org/wiki/2005" TargetMode="External"/><Relationship Id="rId30" Type="http://schemas.openxmlformats.org/officeDocument/2006/relationships/hyperlink" Target="https://it.wikipedia.org/wiki/Petronas_(azienda)" TargetMode="External"/><Relationship Id="rId35" Type="http://schemas.openxmlformats.org/officeDocument/2006/relationships/hyperlink" Target="https://it.wikipedia.org/wiki/Elf_Aquitaine" TargetMode="External"/><Relationship Id="rId43" Type="http://schemas.openxmlformats.org/officeDocument/2006/relationships/hyperlink" Target="https://it.wikipedia.org/wiki/2016" TargetMode="External"/><Relationship Id="rId48" Type="http://schemas.openxmlformats.org/officeDocument/2006/relationships/header" Target="header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it.wikipedia.org/wiki/Lingua_araba" TargetMode="External"/><Relationship Id="rId17" Type="http://schemas.openxmlformats.org/officeDocument/2006/relationships/hyperlink" Target="https://it.wikipedia.org/wiki/1999" TargetMode="External"/><Relationship Id="rId25" Type="http://schemas.openxmlformats.org/officeDocument/2006/relationships/hyperlink" Target="https://it.wikipedia.org/wiki/Doba_(Ciad)" TargetMode="External"/><Relationship Id="rId33" Type="http://schemas.openxmlformats.org/officeDocument/2006/relationships/hyperlink" Target="https://it.wikipedia.org/wiki/Camerun" TargetMode="External"/><Relationship Id="rId38" Type="http://schemas.openxmlformats.org/officeDocument/2006/relationships/hyperlink" Target="https://it.wikipedia.org/wiki/Idriss_D%C3%A9by" TargetMode="External"/><Relationship Id="rId46" Type="http://schemas.openxmlformats.org/officeDocument/2006/relationships/hyperlink" Target="https://it.wikipedia.org/wiki/Primi_ministri_del_Ciad" TargetMode="External"/><Relationship Id="rId20" Type="http://schemas.openxmlformats.org/officeDocument/2006/relationships/hyperlink" Target="https://it.wikipedia.org/wiki/2008" TargetMode="External"/><Relationship Id="rId41" Type="http://schemas.openxmlformats.org/officeDocument/2006/relationships/hyperlink" Target="https://it.wikipedia.org/wiki/2006"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1537</Words>
  <Characters>8764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2019-12-11T10:43:00Z</dcterms:created>
  <dcterms:modified xsi:type="dcterms:W3CDTF">2019-12-11T11:11:00Z</dcterms:modified>
</cp:coreProperties>
</file>