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9C" w:rsidRDefault="00A4129C">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3018626</wp:posOffset>
                </wp:positionH>
                <wp:positionV relativeFrom="paragraph">
                  <wp:posOffset>-641698</wp:posOffset>
                </wp:positionV>
                <wp:extent cx="3465871" cy="2270760"/>
                <wp:effectExtent l="0" t="0" r="20320" b="15240"/>
                <wp:wrapNone/>
                <wp:docPr id="2" name="Casella di testo 2"/>
                <wp:cNvGraphicFramePr/>
                <a:graphic xmlns:a="http://schemas.openxmlformats.org/drawingml/2006/main">
                  <a:graphicData uri="http://schemas.microsoft.com/office/word/2010/wordprocessingShape">
                    <wps:wsp>
                      <wps:cNvSpPr txBox="1"/>
                      <wps:spPr>
                        <a:xfrm>
                          <a:off x="0" y="0"/>
                          <a:ext cx="3465871" cy="2270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29C" w:rsidRDefault="00A4129C">
                            <w:r>
                              <w:t>Stato: Libia</w:t>
                            </w:r>
                          </w:p>
                          <w:p w:rsidR="00A4129C" w:rsidRDefault="00A4129C">
                            <w:r>
                              <w:t>sistema politico: repubblica parlamentare</w:t>
                            </w:r>
                          </w:p>
                          <w:p w:rsidR="00A4129C" w:rsidRDefault="00A4129C">
                            <w:r>
                              <w:t>lingue ufficiali: berbero, italiano</w:t>
                            </w:r>
                          </w:p>
                          <w:p w:rsidR="00A4129C" w:rsidRDefault="00A4129C">
                            <w:r>
                              <w:t>capitale: Tripoli</w:t>
                            </w:r>
                          </w:p>
                          <w:p w:rsidR="00A4129C" w:rsidRDefault="00A4129C">
                            <w:r>
                              <w:t>popolazione: 6.293.000 abitanti (2016)</w:t>
                            </w:r>
                          </w:p>
                          <w:p w:rsidR="00A4129C" w:rsidRDefault="00A4129C">
                            <w:r>
                              <w:t>superficie: 1.759.840 km2</w:t>
                            </w:r>
                          </w:p>
                          <w:p w:rsidR="00A4129C" w:rsidRDefault="00A4129C">
                            <w:r>
                              <w:t>moneta: dinaro libico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37.7pt;margin-top:-50.55pt;width:272.9pt;height:17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" fillcolor="white [3201]" strokeweight=".5pt">
                <v:textbox>
                  <w:txbxContent>
                    <w:p w:rsidR="00A4129C" w:rsidRDefault="00A4129C">
                      <w:r>
                        <w:t>Stato: Libia</w:t>
                      </w:r>
                    </w:p>
                    <w:p w:rsidR="00A4129C" w:rsidRDefault="00A4129C">
                      <w:r>
                        <w:t>sistema politico: repubblica parlamentare</w:t>
                      </w:r>
                    </w:p>
                    <w:p w:rsidR="00A4129C" w:rsidRDefault="00A4129C">
                      <w:r>
                        <w:t>lingue ufficiali: berbero, italiano</w:t>
                      </w:r>
                    </w:p>
                    <w:p w:rsidR="00A4129C" w:rsidRDefault="00A4129C">
                      <w:r>
                        <w:t>capitale: Tripoli</w:t>
                      </w:r>
                    </w:p>
                    <w:p w:rsidR="00A4129C" w:rsidRDefault="00A4129C">
                      <w:r>
                        <w:t>popolazione: 6.293.000 abitanti (2016)</w:t>
                      </w:r>
                    </w:p>
                    <w:p w:rsidR="00A4129C" w:rsidRDefault="00A4129C">
                      <w:r>
                        <w:t>superficie: 1.759.840 km2</w:t>
                      </w:r>
                    </w:p>
                    <w:p w:rsidR="00A4129C" w:rsidRDefault="00A4129C">
                      <w:r>
                        <w:t>moneta: dinaro libico</w:t>
                      </w:r>
                    </w:p>
                  </w:txbxContent>
                </v:textbox>
              </v:shape>
            </w:pict>
          </mc:Fallback>
        </mc:AlternateContent>
      </w:r>
      <w:r>
        <w:rPr>
          <w:noProof/>
          <w:lang w:eastAsia="it-IT"/>
        </w:rPr>
        <w:drawing>
          <wp:inline distT="0" distB="0" distL="0" distR="0">
            <wp:extent cx="2780071" cy="1628293"/>
            <wp:effectExtent l="0" t="0" r="1270" b="0"/>
            <wp:docPr id="1" name="Immagine 1" descr="https://www.acasamai.it/wp-content/uploads/2018/07/Libia-Band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Libia-Bandi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5576" cy="1631517"/>
                    </a:xfrm>
                    <a:prstGeom prst="rect">
                      <a:avLst/>
                    </a:prstGeom>
                    <a:noFill/>
                    <a:ln>
                      <a:noFill/>
                    </a:ln>
                  </pic:spPr>
                </pic:pic>
              </a:graphicData>
            </a:graphic>
          </wp:inline>
        </w:drawing>
      </w:r>
    </w:p>
    <w:p w:rsidR="00CE0D83" w:rsidRDefault="00A4129C" w:rsidP="00A4129C">
      <w:pPr>
        <w:rPr>
          <w:i/>
        </w:rPr>
      </w:pPr>
      <w:r w:rsidRPr="00A4129C">
        <w:rPr>
          <w:i/>
        </w:rPr>
        <w:t>Popolazione:</w:t>
      </w:r>
    </w:p>
    <w:p w:rsidR="00A4129C" w:rsidRPr="00A4129C" w:rsidRDefault="00A4129C" w:rsidP="00A4129C">
      <w:pPr>
        <w:pStyle w:val="NormaleWeb"/>
        <w:rPr>
          <w:rFonts w:asciiTheme="minorHAnsi" w:hAnsiTheme="minorHAnsi"/>
          <w:sz w:val="20"/>
          <w:szCs w:val="20"/>
        </w:rPr>
      </w:pPr>
      <w:r w:rsidRPr="00A4129C">
        <w:rPr>
          <w:rFonts w:asciiTheme="minorHAnsi" w:hAnsiTheme="minorHAnsi"/>
          <w:sz w:val="20"/>
          <w:szCs w:val="20"/>
        </w:rPr>
        <w:t xml:space="preserve">Nel 2010, prima dei conflitti, la Libia si collocava tra i paesi ad </w:t>
      </w:r>
      <w:hyperlink r:id="rId9" w:tooltip="Indice di Sviluppo Umano" w:history="1">
        <w:r w:rsidRPr="00A4129C">
          <w:rPr>
            <w:rStyle w:val="Collegamentoipertestuale"/>
            <w:rFonts w:asciiTheme="minorHAnsi" w:hAnsiTheme="minorHAnsi"/>
            <w:sz w:val="20"/>
            <w:szCs w:val="20"/>
          </w:rPr>
          <w:t>Indice di Sviluppo Umano</w:t>
        </w:r>
      </w:hyperlink>
      <w:r w:rsidRPr="00A4129C">
        <w:rPr>
          <w:rFonts w:asciiTheme="minorHAnsi" w:hAnsiTheme="minorHAnsi"/>
          <w:sz w:val="20"/>
          <w:szCs w:val="20"/>
        </w:rPr>
        <w:t xml:space="preserve"> medio - alto; all'epoca la speranza di vita media della popolazione era di 73 anni e la mortalità infantile era del 17‰. La densità di popolamento rimane ancor oggi molto bassa, con una media di tre abitanti per km</w:t>
      </w:r>
      <w:r w:rsidRPr="00A4129C">
        <w:rPr>
          <w:rFonts w:asciiTheme="minorHAnsi" w:hAnsiTheme="minorHAnsi"/>
          <w:sz w:val="20"/>
          <w:szCs w:val="20"/>
          <w:vertAlign w:val="superscript"/>
        </w:rPr>
        <w:t>2</w:t>
      </w:r>
      <w:r w:rsidRPr="00A4129C">
        <w:rPr>
          <w:rFonts w:asciiTheme="minorHAnsi" w:hAnsiTheme="minorHAnsi"/>
          <w:sz w:val="20"/>
          <w:szCs w:val="20"/>
        </w:rPr>
        <w:t xml:space="preserve">, con una popolazione che si addensa soprattutto lungo la costa, dove si contano oltre 200 abitanti per km², nella piana di </w:t>
      </w:r>
      <w:hyperlink r:id="rId10" w:tooltip="Gefara" w:history="1">
        <w:proofErr w:type="spellStart"/>
        <w:r w:rsidRPr="00A4129C">
          <w:rPr>
            <w:rStyle w:val="Collegamentoipertestuale"/>
            <w:rFonts w:asciiTheme="minorHAnsi" w:hAnsiTheme="minorHAnsi"/>
            <w:sz w:val="20"/>
            <w:szCs w:val="20"/>
          </w:rPr>
          <w:t>Gefara</w:t>
        </w:r>
        <w:proofErr w:type="spellEnd"/>
      </w:hyperlink>
      <w:r w:rsidRPr="00A4129C">
        <w:rPr>
          <w:rFonts w:asciiTheme="minorHAnsi" w:hAnsiTheme="minorHAnsi"/>
          <w:sz w:val="20"/>
          <w:szCs w:val="20"/>
        </w:rPr>
        <w:t xml:space="preserve"> e in alcune oasi. Il 20% della popolazione risiede nella capitale, Tripoli, con 1 063 571 abitanti. Altri centri importanti sono: </w:t>
      </w:r>
      <w:hyperlink r:id="rId11" w:tooltip="Bengasi" w:history="1">
        <w:r w:rsidRPr="00A4129C">
          <w:rPr>
            <w:rStyle w:val="Collegamentoipertestuale"/>
            <w:rFonts w:asciiTheme="minorHAnsi" w:hAnsiTheme="minorHAnsi"/>
            <w:sz w:val="20"/>
            <w:szCs w:val="20"/>
          </w:rPr>
          <w:t>Bengasi</w:t>
        </w:r>
      </w:hyperlink>
      <w:r w:rsidRPr="00A4129C">
        <w:rPr>
          <w:rFonts w:asciiTheme="minorHAnsi" w:hAnsiTheme="minorHAnsi"/>
          <w:sz w:val="20"/>
          <w:szCs w:val="20"/>
        </w:rPr>
        <w:t xml:space="preserve">, capoluogo della Cirenaica e seconda città del paese, </w:t>
      </w:r>
      <w:hyperlink r:id="rId12" w:tooltip="Al Bayda" w:history="1">
        <w:r w:rsidRPr="00A4129C">
          <w:rPr>
            <w:rStyle w:val="Collegamentoipertestuale"/>
            <w:rFonts w:asciiTheme="minorHAnsi" w:hAnsiTheme="minorHAnsi"/>
            <w:sz w:val="20"/>
            <w:szCs w:val="20"/>
          </w:rPr>
          <w:t xml:space="preserve">Al </w:t>
        </w:r>
        <w:proofErr w:type="spellStart"/>
        <w:r w:rsidRPr="00A4129C">
          <w:rPr>
            <w:rStyle w:val="Collegamentoipertestuale"/>
            <w:rFonts w:asciiTheme="minorHAnsi" w:hAnsiTheme="minorHAnsi"/>
            <w:sz w:val="20"/>
            <w:szCs w:val="20"/>
          </w:rPr>
          <w:t>Bayda</w:t>
        </w:r>
        <w:proofErr w:type="spellEnd"/>
      </w:hyperlink>
      <w:r w:rsidRPr="00A4129C">
        <w:rPr>
          <w:rFonts w:asciiTheme="minorHAnsi" w:hAnsiTheme="minorHAnsi"/>
          <w:sz w:val="20"/>
          <w:szCs w:val="20"/>
        </w:rPr>
        <w:t>, terza città più grande della Libia, tutte sulla fascia costiera. Al 2014, l'86% della popolazione abita in città. La popolazione libica parla l'</w:t>
      </w:r>
      <w:hyperlink r:id="rId13" w:tooltip="Lingua araba" w:history="1">
        <w:r w:rsidRPr="00A4129C">
          <w:rPr>
            <w:rStyle w:val="Collegamentoipertestuale"/>
            <w:rFonts w:asciiTheme="minorHAnsi" w:hAnsiTheme="minorHAnsi"/>
            <w:sz w:val="20"/>
            <w:szCs w:val="20"/>
          </w:rPr>
          <w:t>arabo</w:t>
        </w:r>
      </w:hyperlink>
      <w:r w:rsidRPr="00A4129C">
        <w:rPr>
          <w:rFonts w:asciiTheme="minorHAnsi" w:hAnsiTheme="minorHAnsi"/>
          <w:sz w:val="20"/>
          <w:szCs w:val="20"/>
        </w:rPr>
        <w:t xml:space="preserve"> e il </w:t>
      </w:r>
      <w:hyperlink r:id="rId14" w:tooltip="Lingua berbera" w:history="1">
        <w:r w:rsidRPr="00A4129C">
          <w:rPr>
            <w:rStyle w:val="Collegamentoipertestuale"/>
            <w:rFonts w:asciiTheme="minorHAnsi" w:hAnsiTheme="minorHAnsi"/>
            <w:sz w:val="20"/>
            <w:szCs w:val="20"/>
          </w:rPr>
          <w:t>berbero</w:t>
        </w:r>
      </w:hyperlink>
      <w:r w:rsidRPr="00A4129C">
        <w:rPr>
          <w:rFonts w:asciiTheme="minorHAnsi" w:hAnsiTheme="minorHAnsi"/>
          <w:sz w:val="20"/>
          <w:szCs w:val="20"/>
        </w:rPr>
        <w:t xml:space="preserve"> e usa come moneta il </w:t>
      </w:r>
      <w:hyperlink r:id="rId15" w:tooltip="Dinaro libico" w:history="1">
        <w:r w:rsidRPr="00A4129C">
          <w:rPr>
            <w:rStyle w:val="Collegamentoipertestuale"/>
            <w:rFonts w:asciiTheme="minorHAnsi" w:hAnsiTheme="minorHAnsi"/>
            <w:sz w:val="20"/>
            <w:szCs w:val="20"/>
          </w:rPr>
          <w:t>dinaro libico</w:t>
        </w:r>
      </w:hyperlink>
      <w:r w:rsidRPr="00A4129C">
        <w:rPr>
          <w:rFonts w:asciiTheme="minorHAnsi" w:hAnsiTheme="minorHAnsi"/>
          <w:sz w:val="20"/>
          <w:szCs w:val="20"/>
        </w:rPr>
        <w:t xml:space="preserve">. I libici sono principalmente </w:t>
      </w:r>
      <w:hyperlink r:id="rId16" w:tooltip="Arabi" w:history="1">
        <w:r w:rsidRPr="00A4129C">
          <w:rPr>
            <w:rStyle w:val="Collegamentoipertestuale"/>
            <w:rFonts w:asciiTheme="minorHAnsi" w:hAnsiTheme="minorHAnsi"/>
            <w:sz w:val="20"/>
            <w:szCs w:val="20"/>
          </w:rPr>
          <w:t>arabi</w:t>
        </w:r>
      </w:hyperlink>
      <w:r w:rsidRPr="00A4129C">
        <w:rPr>
          <w:rFonts w:asciiTheme="minorHAnsi" w:hAnsiTheme="minorHAnsi"/>
          <w:sz w:val="20"/>
          <w:szCs w:val="20"/>
        </w:rPr>
        <w:t xml:space="preserve">, </w:t>
      </w:r>
      <w:hyperlink r:id="rId17" w:tooltip="Berberi" w:history="1">
        <w:r w:rsidRPr="00A4129C">
          <w:rPr>
            <w:rStyle w:val="Collegamentoipertestuale"/>
            <w:rFonts w:asciiTheme="minorHAnsi" w:hAnsiTheme="minorHAnsi"/>
            <w:sz w:val="20"/>
            <w:szCs w:val="20"/>
          </w:rPr>
          <w:t>berberi</w:t>
        </w:r>
      </w:hyperlink>
      <w:r w:rsidRPr="00A4129C">
        <w:rPr>
          <w:rFonts w:asciiTheme="minorHAnsi" w:hAnsiTheme="minorHAnsi"/>
          <w:sz w:val="20"/>
          <w:szCs w:val="20"/>
        </w:rPr>
        <w:t xml:space="preserve"> e </w:t>
      </w:r>
      <w:hyperlink r:id="rId18" w:tooltip="Tuareg" w:history="1">
        <w:r w:rsidRPr="00A4129C">
          <w:rPr>
            <w:rStyle w:val="Collegamentoipertestuale"/>
            <w:rFonts w:asciiTheme="minorHAnsi" w:hAnsiTheme="minorHAnsi"/>
            <w:sz w:val="20"/>
            <w:szCs w:val="20"/>
          </w:rPr>
          <w:t>tuareg</w:t>
        </w:r>
      </w:hyperlink>
      <w:r w:rsidRPr="00A4129C">
        <w:rPr>
          <w:rFonts w:asciiTheme="minorHAnsi" w:hAnsiTheme="minorHAnsi"/>
          <w:sz w:val="20"/>
          <w:szCs w:val="20"/>
        </w:rPr>
        <w:t xml:space="preserve">. I limitati gruppi tribali </w:t>
      </w:r>
      <w:hyperlink r:id="rId19" w:tooltip="Hausa (popolo)" w:history="1">
        <w:proofErr w:type="spellStart"/>
        <w:r w:rsidRPr="00A4129C">
          <w:rPr>
            <w:rStyle w:val="Collegamentoipertestuale"/>
            <w:rFonts w:asciiTheme="minorHAnsi" w:hAnsiTheme="minorHAnsi"/>
            <w:sz w:val="20"/>
            <w:szCs w:val="20"/>
          </w:rPr>
          <w:t>Hausa</w:t>
        </w:r>
        <w:proofErr w:type="spellEnd"/>
      </w:hyperlink>
      <w:r w:rsidRPr="00A4129C">
        <w:rPr>
          <w:rFonts w:asciiTheme="minorHAnsi" w:hAnsiTheme="minorHAnsi"/>
          <w:sz w:val="20"/>
          <w:szCs w:val="20"/>
        </w:rPr>
        <w:t xml:space="preserve"> e </w:t>
      </w:r>
      <w:hyperlink r:id="rId20" w:tooltip="Tebu" w:history="1">
        <w:r w:rsidRPr="00A4129C">
          <w:rPr>
            <w:rStyle w:val="Collegamentoipertestuale"/>
            <w:rFonts w:asciiTheme="minorHAnsi" w:hAnsiTheme="minorHAnsi"/>
            <w:sz w:val="20"/>
            <w:szCs w:val="20"/>
          </w:rPr>
          <w:t>Tebu</w:t>
        </w:r>
      </w:hyperlink>
      <w:r w:rsidRPr="00A4129C">
        <w:rPr>
          <w:rFonts w:asciiTheme="minorHAnsi" w:hAnsiTheme="minorHAnsi"/>
          <w:sz w:val="20"/>
          <w:szCs w:val="20"/>
        </w:rPr>
        <w:t xml:space="preserve"> di stanza nel sud della Libia conducono vita </w:t>
      </w:r>
      <w:hyperlink r:id="rId21" w:tooltip="Nomade" w:history="1">
        <w:r w:rsidRPr="00A4129C">
          <w:rPr>
            <w:rStyle w:val="Collegamentoipertestuale"/>
            <w:rFonts w:asciiTheme="minorHAnsi" w:hAnsiTheme="minorHAnsi"/>
            <w:sz w:val="20"/>
            <w:szCs w:val="20"/>
          </w:rPr>
          <w:t>nomade</w:t>
        </w:r>
      </w:hyperlink>
      <w:r w:rsidRPr="00A4129C">
        <w:rPr>
          <w:rFonts w:asciiTheme="minorHAnsi" w:hAnsiTheme="minorHAnsi"/>
          <w:sz w:val="20"/>
          <w:szCs w:val="20"/>
        </w:rPr>
        <w:t xml:space="preserve"> o seminomade. La maggioranza degli stranieri presenti nel paese proviene da altri paesi africani, specialmente dall'</w:t>
      </w:r>
      <w:hyperlink r:id="rId22" w:tooltip="Egitto" w:history="1">
        <w:r w:rsidRPr="00A4129C">
          <w:rPr>
            <w:rStyle w:val="Collegamentoipertestuale"/>
            <w:rFonts w:asciiTheme="minorHAnsi" w:hAnsiTheme="minorHAnsi"/>
            <w:sz w:val="20"/>
            <w:szCs w:val="20"/>
          </w:rPr>
          <w:t>Egitto</w:t>
        </w:r>
      </w:hyperlink>
      <w:hyperlink r:id="rId23" w:anchor="cite_note-22" w:history="1">
        <w:r w:rsidRPr="00A4129C">
          <w:rPr>
            <w:rStyle w:val="Collegamentoipertestuale"/>
            <w:rFonts w:asciiTheme="minorHAnsi" w:hAnsiTheme="minorHAnsi"/>
            <w:sz w:val="20"/>
            <w:szCs w:val="20"/>
            <w:vertAlign w:val="superscript"/>
          </w:rPr>
          <w:t>[22]</w:t>
        </w:r>
      </w:hyperlink>
      <w:r w:rsidRPr="00A4129C">
        <w:rPr>
          <w:rFonts w:asciiTheme="minorHAnsi" w:hAnsiTheme="minorHAnsi"/>
          <w:sz w:val="20"/>
          <w:szCs w:val="20"/>
        </w:rPr>
        <w:t>. Più di un milione di immigrati irregolari risiede in Libia</w:t>
      </w:r>
      <w:hyperlink r:id="rId24" w:anchor="cite_note-23" w:history="1">
        <w:r w:rsidRPr="00A4129C">
          <w:rPr>
            <w:rStyle w:val="Collegamentoipertestuale"/>
            <w:rFonts w:asciiTheme="minorHAnsi" w:hAnsiTheme="minorHAnsi"/>
            <w:sz w:val="20"/>
            <w:szCs w:val="20"/>
            <w:vertAlign w:val="superscript"/>
          </w:rPr>
          <w:t>[23]</w:t>
        </w:r>
      </w:hyperlink>
      <w:r w:rsidRPr="00A4129C">
        <w:rPr>
          <w:rFonts w:asciiTheme="minorHAnsi" w:hAnsiTheme="minorHAnsi"/>
          <w:sz w:val="20"/>
          <w:szCs w:val="20"/>
        </w:rPr>
        <w:t xml:space="preserve">. Permane una piccola minoranza di </w:t>
      </w:r>
      <w:hyperlink r:id="rId25" w:tooltip="Italiani" w:history="1">
        <w:r w:rsidRPr="00A4129C">
          <w:rPr>
            <w:rStyle w:val="Collegamentoipertestuale"/>
            <w:rFonts w:asciiTheme="minorHAnsi" w:hAnsiTheme="minorHAnsi"/>
            <w:sz w:val="20"/>
            <w:szCs w:val="20"/>
          </w:rPr>
          <w:t>Italiani</w:t>
        </w:r>
      </w:hyperlink>
      <w:r w:rsidRPr="00A4129C">
        <w:rPr>
          <w:rFonts w:asciiTheme="minorHAnsi" w:hAnsiTheme="minorHAnsi"/>
          <w:sz w:val="20"/>
          <w:szCs w:val="20"/>
        </w:rPr>
        <w:t xml:space="preserve"> (</w:t>
      </w:r>
      <w:hyperlink r:id="rId26" w:tooltip="Italo-libici" w:history="1">
        <w:r w:rsidRPr="00A4129C">
          <w:rPr>
            <w:rStyle w:val="Collegamentoipertestuale"/>
            <w:rFonts w:asciiTheme="minorHAnsi" w:hAnsiTheme="minorHAnsi"/>
            <w:sz w:val="20"/>
            <w:szCs w:val="20"/>
          </w:rPr>
          <w:t>Italo-libici</w:t>
        </w:r>
      </w:hyperlink>
      <w:r w:rsidRPr="00A4129C">
        <w:rPr>
          <w:rFonts w:asciiTheme="minorHAnsi" w:hAnsiTheme="minorHAnsi"/>
          <w:sz w:val="20"/>
          <w:szCs w:val="20"/>
        </w:rPr>
        <w:t xml:space="preserve">), nonostante la maggioranza sia emigrata negli anni cinquanta o sia stata espulsa nel </w:t>
      </w:r>
      <w:hyperlink r:id="rId27" w:tooltip="1970" w:history="1">
        <w:r w:rsidRPr="00A4129C">
          <w:rPr>
            <w:rStyle w:val="Collegamentoipertestuale"/>
            <w:rFonts w:asciiTheme="minorHAnsi" w:hAnsiTheme="minorHAnsi"/>
            <w:sz w:val="20"/>
            <w:szCs w:val="20"/>
          </w:rPr>
          <w:t>1970</w:t>
        </w:r>
      </w:hyperlink>
      <w:hyperlink r:id="rId28" w:anchor="cite_note-24" w:history="1">
        <w:r w:rsidRPr="00A4129C">
          <w:rPr>
            <w:rStyle w:val="Collegamentoipertestuale"/>
            <w:rFonts w:asciiTheme="minorHAnsi" w:hAnsiTheme="minorHAnsi"/>
            <w:sz w:val="20"/>
            <w:szCs w:val="20"/>
            <w:vertAlign w:val="superscript"/>
          </w:rPr>
          <w:t>[24]</w:t>
        </w:r>
      </w:hyperlink>
      <w:r w:rsidRPr="00A4129C">
        <w:rPr>
          <w:rFonts w:asciiTheme="minorHAnsi" w:hAnsiTheme="minorHAnsi"/>
          <w:sz w:val="20"/>
          <w:szCs w:val="20"/>
        </w:rPr>
        <w:t xml:space="preserve">. Dei 64 570 </w:t>
      </w:r>
      <w:hyperlink r:id="rId29" w:tooltip="Ebrei" w:history="1">
        <w:r w:rsidRPr="00A4129C">
          <w:rPr>
            <w:rStyle w:val="Collegamentoipertestuale"/>
            <w:rFonts w:asciiTheme="minorHAnsi" w:hAnsiTheme="minorHAnsi"/>
            <w:sz w:val="20"/>
            <w:szCs w:val="20"/>
          </w:rPr>
          <w:t>ebrei</w:t>
        </w:r>
      </w:hyperlink>
      <w:r w:rsidRPr="00A4129C">
        <w:rPr>
          <w:rFonts w:asciiTheme="minorHAnsi" w:hAnsiTheme="minorHAnsi"/>
          <w:sz w:val="20"/>
          <w:szCs w:val="20"/>
        </w:rPr>
        <w:t xml:space="preserve"> presenti nel paese nel </w:t>
      </w:r>
      <w:hyperlink r:id="rId30" w:tooltip="1948" w:history="1">
        <w:r w:rsidRPr="00A4129C">
          <w:rPr>
            <w:rStyle w:val="Collegamentoipertestuale"/>
            <w:rFonts w:asciiTheme="minorHAnsi" w:hAnsiTheme="minorHAnsi"/>
            <w:sz w:val="20"/>
            <w:szCs w:val="20"/>
          </w:rPr>
          <w:t>1948</w:t>
        </w:r>
      </w:hyperlink>
      <w:hyperlink r:id="rId31" w:anchor="cite_note-25" w:history="1">
        <w:r w:rsidRPr="00A4129C">
          <w:rPr>
            <w:rStyle w:val="Collegamentoipertestuale"/>
            <w:rFonts w:asciiTheme="minorHAnsi" w:hAnsiTheme="minorHAnsi"/>
            <w:sz w:val="20"/>
            <w:szCs w:val="20"/>
            <w:vertAlign w:val="superscript"/>
          </w:rPr>
          <w:t>[25]</w:t>
        </w:r>
      </w:hyperlink>
      <w:r w:rsidRPr="00A4129C">
        <w:rPr>
          <w:rFonts w:asciiTheme="minorHAnsi" w:hAnsiTheme="minorHAnsi"/>
          <w:sz w:val="20"/>
          <w:szCs w:val="20"/>
        </w:rPr>
        <w:t xml:space="preserve">, 50 000 emigrarono in </w:t>
      </w:r>
      <w:hyperlink r:id="rId32" w:tooltip="Israele" w:history="1">
        <w:r w:rsidRPr="00A4129C">
          <w:rPr>
            <w:rStyle w:val="Collegamentoipertestuale"/>
            <w:rFonts w:asciiTheme="minorHAnsi" w:hAnsiTheme="minorHAnsi"/>
            <w:sz w:val="20"/>
            <w:szCs w:val="20"/>
          </w:rPr>
          <w:t>Israele</w:t>
        </w:r>
      </w:hyperlink>
      <w:r w:rsidRPr="00A4129C">
        <w:rPr>
          <w:rFonts w:asciiTheme="minorHAnsi" w:hAnsiTheme="minorHAnsi"/>
          <w:sz w:val="20"/>
          <w:szCs w:val="20"/>
        </w:rPr>
        <w:t xml:space="preserve">, a seguito di vari </w:t>
      </w:r>
      <w:hyperlink r:id="rId33" w:tooltip="Pogrom" w:history="1">
        <w:r w:rsidRPr="00A4129C">
          <w:rPr>
            <w:rStyle w:val="Collegamentoipertestuale"/>
            <w:rFonts w:asciiTheme="minorHAnsi" w:hAnsiTheme="minorHAnsi"/>
            <w:sz w:val="20"/>
            <w:szCs w:val="20"/>
          </w:rPr>
          <w:t>pogrom</w:t>
        </w:r>
      </w:hyperlink>
      <w:r w:rsidRPr="00A4129C">
        <w:rPr>
          <w:rFonts w:asciiTheme="minorHAnsi" w:hAnsiTheme="minorHAnsi"/>
          <w:sz w:val="20"/>
          <w:szCs w:val="20"/>
        </w:rPr>
        <w:t xml:space="preserve">, entro l'indipendenza libica nel </w:t>
      </w:r>
      <w:hyperlink r:id="rId34" w:tooltip="1951" w:history="1">
        <w:r w:rsidRPr="00A4129C">
          <w:rPr>
            <w:rStyle w:val="Collegamentoipertestuale"/>
            <w:rFonts w:asciiTheme="minorHAnsi" w:hAnsiTheme="minorHAnsi"/>
            <w:sz w:val="20"/>
            <w:szCs w:val="20"/>
          </w:rPr>
          <w:t>1951</w:t>
        </w:r>
      </w:hyperlink>
      <w:hyperlink r:id="rId35" w:anchor="cite_note-26" w:history="1">
        <w:r w:rsidRPr="00A4129C">
          <w:rPr>
            <w:rStyle w:val="Collegamentoipertestuale"/>
            <w:rFonts w:asciiTheme="minorHAnsi" w:hAnsiTheme="minorHAnsi"/>
            <w:sz w:val="20"/>
            <w:szCs w:val="20"/>
            <w:vertAlign w:val="superscript"/>
          </w:rPr>
          <w:t>[26]</w:t>
        </w:r>
      </w:hyperlink>
      <w:hyperlink r:id="rId36" w:anchor="cite_note-27" w:history="1">
        <w:r w:rsidRPr="00A4129C">
          <w:rPr>
            <w:rStyle w:val="Collegamentoipertestuale"/>
            <w:rFonts w:asciiTheme="minorHAnsi" w:hAnsiTheme="minorHAnsi"/>
            <w:sz w:val="20"/>
            <w:szCs w:val="20"/>
            <w:vertAlign w:val="superscript"/>
          </w:rPr>
          <w:t>[27]</w:t>
        </w:r>
      </w:hyperlink>
      <w:r w:rsidRPr="00A4129C">
        <w:rPr>
          <w:rFonts w:asciiTheme="minorHAnsi" w:hAnsiTheme="minorHAnsi"/>
          <w:sz w:val="20"/>
          <w:szCs w:val="20"/>
        </w:rPr>
        <w:t xml:space="preserve">. A seguito della </w:t>
      </w:r>
      <w:hyperlink r:id="rId37" w:tooltip="Guerra dei sei giorni" w:history="1">
        <w:r w:rsidRPr="00A4129C">
          <w:rPr>
            <w:rStyle w:val="Collegamentoipertestuale"/>
            <w:rFonts w:asciiTheme="minorHAnsi" w:hAnsiTheme="minorHAnsi"/>
            <w:sz w:val="20"/>
            <w:szCs w:val="20"/>
          </w:rPr>
          <w:t>guerra dei sei giorni</w:t>
        </w:r>
      </w:hyperlink>
      <w:r w:rsidRPr="00A4129C">
        <w:rPr>
          <w:rFonts w:asciiTheme="minorHAnsi" w:hAnsiTheme="minorHAnsi"/>
          <w:sz w:val="20"/>
          <w:szCs w:val="20"/>
        </w:rPr>
        <w:t xml:space="preserve">, i 4 000 ebrei rimasti in Libia subirono un nuovo </w:t>
      </w:r>
      <w:hyperlink r:id="rId38" w:tooltip="Pogrom" w:history="1">
        <w:r w:rsidRPr="00A4129C">
          <w:rPr>
            <w:rStyle w:val="Collegamentoipertestuale"/>
            <w:rFonts w:asciiTheme="minorHAnsi" w:hAnsiTheme="minorHAnsi"/>
            <w:sz w:val="20"/>
            <w:szCs w:val="20"/>
          </w:rPr>
          <w:t>pogrom</w:t>
        </w:r>
      </w:hyperlink>
      <w:r w:rsidRPr="00A4129C">
        <w:rPr>
          <w:rFonts w:asciiTheme="minorHAnsi" w:hAnsiTheme="minorHAnsi"/>
          <w:sz w:val="20"/>
          <w:szCs w:val="20"/>
        </w:rPr>
        <w:t xml:space="preserve">. Il governo senussita ingiunse loro di lasciare "temporaneamente" il paese. Dei 4 000 sbarcati in </w:t>
      </w:r>
      <w:hyperlink r:id="rId39" w:tooltip="Italia" w:history="1">
        <w:r w:rsidRPr="00A4129C">
          <w:rPr>
            <w:rStyle w:val="Collegamentoipertestuale"/>
            <w:rFonts w:asciiTheme="minorHAnsi" w:hAnsiTheme="minorHAnsi"/>
            <w:sz w:val="20"/>
            <w:szCs w:val="20"/>
          </w:rPr>
          <w:t>Italia</w:t>
        </w:r>
      </w:hyperlink>
      <w:r w:rsidRPr="00A4129C">
        <w:rPr>
          <w:rFonts w:asciiTheme="minorHAnsi" w:hAnsiTheme="minorHAnsi"/>
          <w:sz w:val="20"/>
          <w:szCs w:val="20"/>
        </w:rPr>
        <w:t xml:space="preserve">, 2 200 vi rimasero, 1 300 optarono per </w:t>
      </w:r>
      <w:hyperlink r:id="rId40" w:tooltip="Israele" w:history="1">
        <w:r w:rsidRPr="00A4129C">
          <w:rPr>
            <w:rStyle w:val="Collegamentoipertestuale"/>
            <w:rFonts w:asciiTheme="minorHAnsi" w:hAnsiTheme="minorHAnsi"/>
            <w:sz w:val="20"/>
            <w:szCs w:val="20"/>
          </w:rPr>
          <w:t>Israele</w:t>
        </w:r>
      </w:hyperlink>
      <w:r w:rsidRPr="00A4129C">
        <w:rPr>
          <w:rFonts w:asciiTheme="minorHAnsi" w:hAnsiTheme="minorHAnsi"/>
          <w:sz w:val="20"/>
          <w:szCs w:val="20"/>
        </w:rPr>
        <w:t xml:space="preserve"> e la maggior parte degli altri per gli </w:t>
      </w:r>
      <w:hyperlink r:id="rId41" w:tooltip="Stati Uniti d'America" w:history="1">
        <w:r w:rsidRPr="00A4129C">
          <w:rPr>
            <w:rStyle w:val="Collegamentoipertestuale"/>
            <w:rFonts w:asciiTheme="minorHAnsi" w:hAnsiTheme="minorHAnsi"/>
            <w:sz w:val="20"/>
            <w:szCs w:val="20"/>
          </w:rPr>
          <w:t>Stati Uniti</w:t>
        </w:r>
      </w:hyperlink>
      <w:r w:rsidRPr="00A4129C">
        <w:rPr>
          <w:rFonts w:asciiTheme="minorHAnsi" w:hAnsiTheme="minorHAnsi"/>
          <w:sz w:val="20"/>
          <w:szCs w:val="20"/>
        </w:rPr>
        <w:t>. Solo poche famiglie restarono in Libia</w:t>
      </w:r>
      <w:hyperlink r:id="rId42" w:anchor="cite_note-28" w:history="1">
        <w:r w:rsidRPr="00A4129C">
          <w:rPr>
            <w:rStyle w:val="Collegamentoipertestuale"/>
            <w:rFonts w:asciiTheme="minorHAnsi" w:hAnsiTheme="minorHAnsi"/>
            <w:sz w:val="20"/>
            <w:szCs w:val="20"/>
            <w:vertAlign w:val="superscript"/>
          </w:rPr>
          <w:t>[28]</w:t>
        </w:r>
      </w:hyperlink>
      <w:hyperlink r:id="rId43" w:anchor="cite_note-29" w:history="1">
        <w:r w:rsidRPr="00A4129C">
          <w:rPr>
            <w:rStyle w:val="Collegamentoipertestuale"/>
            <w:rFonts w:asciiTheme="minorHAnsi" w:hAnsiTheme="minorHAnsi"/>
            <w:sz w:val="20"/>
            <w:szCs w:val="20"/>
            <w:vertAlign w:val="superscript"/>
          </w:rPr>
          <w:t>[29]</w:t>
        </w:r>
      </w:hyperlink>
      <w:r w:rsidRPr="00A4129C">
        <w:rPr>
          <w:rFonts w:asciiTheme="minorHAnsi" w:hAnsiTheme="minorHAnsi"/>
          <w:sz w:val="20"/>
          <w:szCs w:val="20"/>
        </w:rPr>
        <w:t xml:space="preserve">. Nel </w:t>
      </w:r>
      <w:hyperlink r:id="rId44" w:tooltip="1970" w:history="1">
        <w:r w:rsidRPr="00A4129C">
          <w:rPr>
            <w:rStyle w:val="Collegamentoipertestuale"/>
            <w:rFonts w:asciiTheme="minorHAnsi" w:hAnsiTheme="minorHAnsi"/>
            <w:sz w:val="20"/>
            <w:szCs w:val="20"/>
          </w:rPr>
          <w:t>1970</w:t>
        </w:r>
      </w:hyperlink>
      <w:r w:rsidRPr="00A4129C">
        <w:rPr>
          <w:rFonts w:asciiTheme="minorHAnsi" w:hAnsiTheme="minorHAnsi"/>
          <w:sz w:val="20"/>
          <w:szCs w:val="20"/>
        </w:rPr>
        <w:t xml:space="preserve"> i beni degli ebrei libici furono confiscati, e successive compensazioni furono negate dal governo di </w:t>
      </w:r>
      <w:hyperlink r:id="rId45" w:tooltip="Mu'ammar Gheddafi" w:history="1">
        <w:r w:rsidRPr="00A4129C">
          <w:rPr>
            <w:rStyle w:val="Collegamentoipertestuale"/>
            <w:rFonts w:asciiTheme="minorHAnsi" w:hAnsiTheme="minorHAnsi"/>
            <w:sz w:val="20"/>
            <w:szCs w:val="20"/>
          </w:rPr>
          <w:t>Gheddafi</w:t>
        </w:r>
      </w:hyperlink>
      <w:hyperlink r:id="rId46" w:anchor="cite_note-30" w:history="1">
        <w:r w:rsidRPr="00A4129C">
          <w:rPr>
            <w:rStyle w:val="Collegamentoipertestuale"/>
            <w:rFonts w:asciiTheme="minorHAnsi" w:hAnsiTheme="minorHAnsi"/>
            <w:sz w:val="20"/>
            <w:szCs w:val="20"/>
            <w:vertAlign w:val="superscript"/>
          </w:rPr>
          <w:t>[30]</w:t>
        </w:r>
      </w:hyperlink>
      <w:r w:rsidRPr="00A4129C">
        <w:rPr>
          <w:rFonts w:asciiTheme="minorHAnsi" w:hAnsiTheme="minorHAnsi"/>
          <w:sz w:val="20"/>
          <w:szCs w:val="20"/>
        </w:rPr>
        <w:t xml:space="preserve">. La sinagoga di </w:t>
      </w:r>
      <w:hyperlink r:id="rId47" w:tooltip="Tripoli" w:history="1">
        <w:r w:rsidRPr="00A4129C">
          <w:rPr>
            <w:rStyle w:val="Collegamentoipertestuale"/>
            <w:rFonts w:asciiTheme="minorHAnsi" w:hAnsiTheme="minorHAnsi"/>
            <w:sz w:val="20"/>
            <w:szCs w:val="20"/>
          </w:rPr>
          <w:t>Tripoli</w:t>
        </w:r>
      </w:hyperlink>
      <w:r w:rsidRPr="00A4129C">
        <w:rPr>
          <w:rFonts w:asciiTheme="minorHAnsi" w:hAnsiTheme="minorHAnsi"/>
          <w:sz w:val="20"/>
          <w:szCs w:val="20"/>
        </w:rPr>
        <w:t xml:space="preserve">, restaurata nel </w:t>
      </w:r>
      <w:hyperlink r:id="rId48" w:tooltip="1999" w:history="1">
        <w:r w:rsidRPr="00A4129C">
          <w:rPr>
            <w:rStyle w:val="Collegamentoipertestuale"/>
            <w:rFonts w:asciiTheme="minorHAnsi" w:hAnsiTheme="minorHAnsi"/>
            <w:sz w:val="20"/>
            <w:szCs w:val="20"/>
          </w:rPr>
          <w:t>1999</w:t>
        </w:r>
      </w:hyperlink>
      <w:r w:rsidRPr="00A4129C">
        <w:rPr>
          <w:rFonts w:asciiTheme="minorHAnsi" w:hAnsiTheme="minorHAnsi"/>
          <w:sz w:val="20"/>
          <w:szCs w:val="20"/>
        </w:rPr>
        <w:t>, è stata rasa al suolo da estremisti islamici</w:t>
      </w:r>
      <w:hyperlink r:id="rId49" w:anchor="cite_note-31" w:history="1">
        <w:r w:rsidRPr="00A4129C">
          <w:rPr>
            <w:rStyle w:val="Collegamentoipertestuale"/>
            <w:rFonts w:asciiTheme="minorHAnsi" w:hAnsiTheme="minorHAnsi"/>
            <w:sz w:val="20"/>
            <w:szCs w:val="20"/>
            <w:vertAlign w:val="superscript"/>
          </w:rPr>
          <w:t>[31]</w:t>
        </w:r>
      </w:hyperlink>
      <w:r w:rsidRPr="00A4129C">
        <w:rPr>
          <w:rFonts w:asciiTheme="minorHAnsi" w:hAnsiTheme="minorHAnsi"/>
          <w:sz w:val="20"/>
          <w:szCs w:val="20"/>
        </w:rPr>
        <w:t xml:space="preserve">. </w:t>
      </w:r>
    </w:p>
    <w:p w:rsidR="00A4129C" w:rsidRDefault="00A4129C" w:rsidP="00A4129C">
      <w:pPr>
        <w:pStyle w:val="NormaleWeb"/>
        <w:rPr>
          <w:rFonts w:asciiTheme="minorHAnsi" w:hAnsiTheme="minorHAnsi"/>
          <w:i/>
          <w:sz w:val="20"/>
          <w:szCs w:val="20"/>
        </w:rPr>
      </w:pPr>
      <w:r w:rsidRPr="00A4129C">
        <w:rPr>
          <w:rFonts w:asciiTheme="minorHAnsi" w:hAnsiTheme="minorHAnsi"/>
          <w:i/>
          <w:sz w:val="20"/>
          <w:szCs w:val="20"/>
        </w:rPr>
        <w:t>Lingue:</w:t>
      </w:r>
    </w:p>
    <w:p w:rsidR="00A4129C" w:rsidRDefault="00A4129C" w:rsidP="00A4129C">
      <w:pPr>
        <w:pStyle w:val="NormaleWeb"/>
        <w:rPr>
          <w:rFonts w:asciiTheme="minorHAnsi" w:hAnsiTheme="minorHAnsi"/>
          <w:sz w:val="20"/>
          <w:szCs w:val="20"/>
        </w:rPr>
      </w:pPr>
      <w:r w:rsidRPr="00A4129C">
        <w:rPr>
          <w:rFonts w:asciiTheme="minorHAnsi" w:hAnsiTheme="minorHAnsi"/>
          <w:sz w:val="20"/>
          <w:szCs w:val="20"/>
        </w:rPr>
        <w:t>L'</w:t>
      </w:r>
      <w:hyperlink r:id="rId50" w:tooltip="Lingua araba" w:history="1">
        <w:r w:rsidRPr="00A4129C">
          <w:rPr>
            <w:rStyle w:val="Collegamentoipertestuale"/>
            <w:rFonts w:asciiTheme="minorHAnsi" w:hAnsiTheme="minorHAnsi"/>
            <w:sz w:val="20"/>
            <w:szCs w:val="20"/>
          </w:rPr>
          <w:t>arabo</w:t>
        </w:r>
      </w:hyperlink>
      <w:r w:rsidRPr="00A4129C">
        <w:rPr>
          <w:rFonts w:asciiTheme="minorHAnsi" w:hAnsiTheme="minorHAnsi"/>
          <w:sz w:val="20"/>
          <w:szCs w:val="20"/>
        </w:rPr>
        <w:t xml:space="preserve"> è la lingua ufficiale del paese. La </w:t>
      </w:r>
      <w:hyperlink r:id="rId51" w:tooltip="Lingua berbera" w:history="1">
        <w:r w:rsidRPr="00A4129C">
          <w:rPr>
            <w:rStyle w:val="Collegamentoipertestuale"/>
            <w:rFonts w:asciiTheme="minorHAnsi" w:hAnsiTheme="minorHAnsi"/>
            <w:sz w:val="20"/>
            <w:szCs w:val="20"/>
          </w:rPr>
          <w:t>lingua berbera</w:t>
        </w:r>
      </w:hyperlink>
      <w:r w:rsidRPr="00A4129C">
        <w:rPr>
          <w:rFonts w:asciiTheme="minorHAnsi" w:hAnsiTheme="minorHAnsi"/>
          <w:sz w:val="20"/>
          <w:szCs w:val="20"/>
        </w:rPr>
        <w:t xml:space="preserve"> è parlata, ma senza alcun riconoscimento ufficiale, da circa 160 000 persone, soprattutto nel </w:t>
      </w:r>
      <w:hyperlink r:id="rId52" w:tooltip="Gebel Nefusa" w:history="1">
        <w:proofErr w:type="spellStart"/>
        <w:r w:rsidRPr="00A4129C">
          <w:rPr>
            <w:rStyle w:val="Collegamentoipertestuale"/>
            <w:rFonts w:asciiTheme="minorHAnsi" w:hAnsiTheme="minorHAnsi"/>
            <w:sz w:val="20"/>
            <w:szCs w:val="20"/>
          </w:rPr>
          <w:t>Gebel</w:t>
        </w:r>
        <w:proofErr w:type="spellEnd"/>
        <w:r w:rsidRPr="00A4129C">
          <w:rPr>
            <w:rStyle w:val="Collegamentoipertestuale"/>
            <w:rFonts w:asciiTheme="minorHAnsi" w:hAnsiTheme="minorHAnsi"/>
            <w:sz w:val="20"/>
            <w:szCs w:val="20"/>
          </w:rPr>
          <w:t xml:space="preserve"> Nefusa</w:t>
        </w:r>
      </w:hyperlink>
      <w:r w:rsidRPr="00A4129C">
        <w:rPr>
          <w:rFonts w:asciiTheme="minorHAnsi" w:hAnsiTheme="minorHAnsi"/>
          <w:sz w:val="20"/>
          <w:szCs w:val="20"/>
        </w:rPr>
        <w:t xml:space="preserve"> (</w:t>
      </w:r>
      <w:hyperlink r:id="rId53" w:tooltip="Lingua nefusi" w:history="1">
        <w:r w:rsidRPr="00A4129C">
          <w:rPr>
            <w:rStyle w:val="Collegamentoipertestuale"/>
            <w:rFonts w:asciiTheme="minorHAnsi" w:hAnsiTheme="minorHAnsi"/>
            <w:sz w:val="20"/>
            <w:szCs w:val="20"/>
          </w:rPr>
          <w:t>"</w:t>
        </w:r>
        <w:proofErr w:type="spellStart"/>
        <w:r w:rsidRPr="00A4129C">
          <w:rPr>
            <w:rStyle w:val="Collegamentoipertestuale"/>
            <w:rFonts w:asciiTheme="minorHAnsi" w:hAnsiTheme="minorHAnsi"/>
            <w:sz w:val="20"/>
            <w:szCs w:val="20"/>
          </w:rPr>
          <w:t>nefusi</w:t>
        </w:r>
        <w:proofErr w:type="spellEnd"/>
        <w:r w:rsidRPr="00A4129C">
          <w:rPr>
            <w:rStyle w:val="Collegamentoipertestuale"/>
            <w:rFonts w:asciiTheme="minorHAnsi" w:hAnsiTheme="minorHAnsi"/>
            <w:sz w:val="20"/>
            <w:szCs w:val="20"/>
          </w:rPr>
          <w:t>"</w:t>
        </w:r>
      </w:hyperlink>
      <w:r w:rsidRPr="00A4129C">
        <w:rPr>
          <w:rFonts w:asciiTheme="minorHAnsi" w:hAnsiTheme="minorHAnsi"/>
          <w:sz w:val="20"/>
          <w:szCs w:val="20"/>
        </w:rPr>
        <w:t xml:space="preserve">), a </w:t>
      </w:r>
      <w:hyperlink r:id="rId54" w:tooltip="Zuara" w:history="1">
        <w:r w:rsidRPr="00A4129C">
          <w:rPr>
            <w:rStyle w:val="Collegamentoipertestuale"/>
            <w:rFonts w:asciiTheme="minorHAnsi" w:hAnsiTheme="minorHAnsi"/>
            <w:sz w:val="20"/>
            <w:szCs w:val="20"/>
          </w:rPr>
          <w:t>Zuara</w:t>
        </w:r>
      </w:hyperlink>
      <w:r w:rsidRPr="00A4129C">
        <w:rPr>
          <w:rFonts w:asciiTheme="minorHAnsi" w:hAnsiTheme="minorHAnsi"/>
          <w:sz w:val="20"/>
          <w:szCs w:val="20"/>
        </w:rPr>
        <w:t xml:space="preserve"> sulla costa, e in vari centri dell'interno, come </w:t>
      </w:r>
      <w:hyperlink r:id="rId55" w:tooltip="Ghat (Libia)" w:history="1">
        <w:r w:rsidRPr="00A4129C">
          <w:rPr>
            <w:rStyle w:val="Collegamentoipertestuale"/>
            <w:rFonts w:asciiTheme="minorHAnsi" w:hAnsiTheme="minorHAnsi"/>
            <w:sz w:val="20"/>
            <w:szCs w:val="20"/>
          </w:rPr>
          <w:t>Ghat</w:t>
        </w:r>
      </w:hyperlink>
      <w:r w:rsidRPr="00A4129C">
        <w:rPr>
          <w:rFonts w:asciiTheme="minorHAnsi" w:hAnsiTheme="minorHAnsi"/>
          <w:sz w:val="20"/>
          <w:szCs w:val="20"/>
        </w:rPr>
        <w:t xml:space="preserve">, </w:t>
      </w:r>
      <w:hyperlink r:id="rId56" w:tooltip="Gadames" w:history="1">
        <w:proofErr w:type="spellStart"/>
        <w:r w:rsidRPr="00A4129C">
          <w:rPr>
            <w:rStyle w:val="Collegamentoipertestuale"/>
            <w:rFonts w:asciiTheme="minorHAnsi" w:hAnsiTheme="minorHAnsi"/>
            <w:sz w:val="20"/>
            <w:szCs w:val="20"/>
          </w:rPr>
          <w:t>Gadames</w:t>
        </w:r>
        <w:proofErr w:type="spellEnd"/>
      </w:hyperlink>
      <w:r w:rsidRPr="00A4129C">
        <w:rPr>
          <w:rFonts w:asciiTheme="minorHAnsi" w:hAnsiTheme="minorHAnsi"/>
          <w:sz w:val="20"/>
          <w:szCs w:val="20"/>
        </w:rPr>
        <w:t xml:space="preserve">, </w:t>
      </w:r>
      <w:hyperlink r:id="rId57" w:tooltip="Sokna (la pagina non esiste)" w:history="1">
        <w:proofErr w:type="spellStart"/>
        <w:r w:rsidRPr="00A4129C">
          <w:rPr>
            <w:rStyle w:val="Collegamentoipertestuale"/>
            <w:rFonts w:asciiTheme="minorHAnsi" w:hAnsiTheme="minorHAnsi"/>
            <w:sz w:val="20"/>
            <w:szCs w:val="20"/>
          </w:rPr>
          <w:t>Sokna</w:t>
        </w:r>
        <w:proofErr w:type="spellEnd"/>
      </w:hyperlink>
      <w:r w:rsidRPr="00A4129C">
        <w:rPr>
          <w:rFonts w:asciiTheme="minorHAnsi" w:hAnsiTheme="minorHAnsi"/>
          <w:sz w:val="20"/>
          <w:szCs w:val="20"/>
        </w:rPr>
        <w:t xml:space="preserve"> e </w:t>
      </w:r>
      <w:hyperlink r:id="rId58" w:tooltip="Augila (la pagina non esiste)" w:history="1">
        <w:proofErr w:type="spellStart"/>
        <w:r w:rsidRPr="00A4129C">
          <w:rPr>
            <w:rStyle w:val="Collegamentoipertestuale"/>
            <w:rFonts w:asciiTheme="minorHAnsi" w:hAnsiTheme="minorHAnsi"/>
            <w:sz w:val="20"/>
            <w:szCs w:val="20"/>
          </w:rPr>
          <w:t>Augila</w:t>
        </w:r>
        <w:proofErr w:type="spellEnd"/>
      </w:hyperlink>
      <w:r w:rsidRPr="00A4129C">
        <w:rPr>
          <w:rFonts w:asciiTheme="minorHAnsi" w:hAnsiTheme="minorHAnsi"/>
          <w:sz w:val="20"/>
          <w:szCs w:val="20"/>
        </w:rPr>
        <w:t xml:space="preserve">. La </w:t>
      </w:r>
      <w:hyperlink r:id="rId59" w:tooltip="Lingua italiana" w:history="1">
        <w:r w:rsidRPr="00A4129C">
          <w:rPr>
            <w:rStyle w:val="Collegamentoipertestuale"/>
            <w:rFonts w:asciiTheme="minorHAnsi" w:hAnsiTheme="minorHAnsi"/>
            <w:sz w:val="20"/>
            <w:szCs w:val="20"/>
          </w:rPr>
          <w:t>lingua italiana</w:t>
        </w:r>
      </w:hyperlink>
      <w:r w:rsidRPr="00A4129C">
        <w:rPr>
          <w:rFonts w:asciiTheme="minorHAnsi" w:hAnsiTheme="minorHAnsi"/>
          <w:sz w:val="20"/>
          <w:szCs w:val="20"/>
        </w:rPr>
        <w:t xml:space="preserve"> (residuo dell'epoca coloniale) e quella </w:t>
      </w:r>
      <w:hyperlink r:id="rId60" w:tooltip="Lingua inglese" w:history="1">
        <w:r w:rsidRPr="00A4129C">
          <w:rPr>
            <w:rStyle w:val="Collegamentoipertestuale"/>
            <w:rFonts w:asciiTheme="minorHAnsi" w:hAnsiTheme="minorHAnsi"/>
            <w:sz w:val="20"/>
            <w:szCs w:val="20"/>
          </w:rPr>
          <w:t>inglese</w:t>
        </w:r>
      </w:hyperlink>
      <w:r w:rsidRPr="00A4129C">
        <w:rPr>
          <w:rFonts w:asciiTheme="minorHAnsi" w:hAnsiTheme="minorHAnsi"/>
          <w:sz w:val="20"/>
          <w:szCs w:val="20"/>
        </w:rPr>
        <w:t xml:space="preserve"> sono utilizzate a livello economico per i commerci.</w:t>
      </w:r>
    </w:p>
    <w:p w:rsidR="00A4129C" w:rsidRDefault="00A4129C" w:rsidP="00A4129C">
      <w:pPr>
        <w:pStyle w:val="NormaleWeb"/>
        <w:rPr>
          <w:rFonts w:asciiTheme="minorHAnsi" w:hAnsiTheme="minorHAnsi"/>
          <w:i/>
          <w:sz w:val="20"/>
          <w:szCs w:val="20"/>
        </w:rPr>
      </w:pPr>
      <w:r w:rsidRPr="00A4129C">
        <w:rPr>
          <w:rFonts w:asciiTheme="minorHAnsi" w:hAnsiTheme="minorHAnsi"/>
          <w:i/>
          <w:sz w:val="20"/>
          <w:szCs w:val="20"/>
        </w:rPr>
        <w:t>Religione:</w:t>
      </w:r>
    </w:p>
    <w:p w:rsidR="00A4129C" w:rsidRPr="00A4129C" w:rsidRDefault="00A4129C" w:rsidP="00A4129C">
      <w:pPr>
        <w:pStyle w:val="NormaleWeb"/>
        <w:rPr>
          <w:rFonts w:asciiTheme="minorHAnsi" w:hAnsiTheme="minorHAnsi"/>
          <w:sz w:val="20"/>
          <w:szCs w:val="20"/>
        </w:rPr>
      </w:pPr>
      <w:r w:rsidRPr="00A4129C">
        <w:rPr>
          <w:rFonts w:asciiTheme="minorHAnsi" w:hAnsiTheme="minorHAnsi"/>
          <w:sz w:val="20"/>
          <w:szCs w:val="20"/>
        </w:rPr>
        <w:t xml:space="preserve">Dal </w:t>
      </w:r>
      <w:hyperlink r:id="rId61" w:tooltip="1970" w:history="1">
        <w:r w:rsidRPr="00A4129C">
          <w:rPr>
            <w:rStyle w:val="Collegamentoipertestuale"/>
            <w:rFonts w:asciiTheme="minorHAnsi" w:hAnsiTheme="minorHAnsi"/>
            <w:sz w:val="20"/>
            <w:szCs w:val="20"/>
          </w:rPr>
          <w:t>1970</w:t>
        </w:r>
      </w:hyperlink>
      <w:r w:rsidRPr="00A4129C">
        <w:rPr>
          <w:rFonts w:asciiTheme="minorHAnsi" w:hAnsiTheme="minorHAnsi"/>
          <w:sz w:val="20"/>
          <w:szCs w:val="20"/>
        </w:rPr>
        <w:t xml:space="preserve"> la confessione </w:t>
      </w:r>
      <w:hyperlink r:id="rId62" w:tooltip="Islam" w:history="1">
        <w:r w:rsidRPr="00A4129C">
          <w:rPr>
            <w:rStyle w:val="Collegamentoipertestuale"/>
            <w:rFonts w:asciiTheme="minorHAnsi" w:hAnsiTheme="minorHAnsi"/>
            <w:sz w:val="20"/>
            <w:szCs w:val="20"/>
          </w:rPr>
          <w:t>islamica</w:t>
        </w:r>
      </w:hyperlink>
      <w:r w:rsidRPr="00A4129C">
        <w:rPr>
          <w:rFonts w:asciiTheme="minorHAnsi" w:hAnsiTheme="minorHAnsi"/>
          <w:sz w:val="20"/>
          <w:szCs w:val="20"/>
        </w:rPr>
        <w:t xml:space="preserve"> è stata proclamata religione di Stato. I </w:t>
      </w:r>
      <w:hyperlink r:id="rId63" w:tooltip="Islam" w:history="1">
        <w:r w:rsidRPr="00A4129C">
          <w:rPr>
            <w:rStyle w:val="Collegamentoipertestuale"/>
            <w:rFonts w:asciiTheme="minorHAnsi" w:hAnsiTheme="minorHAnsi"/>
            <w:sz w:val="20"/>
            <w:szCs w:val="20"/>
          </w:rPr>
          <w:t>musulmani</w:t>
        </w:r>
      </w:hyperlink>
      <w:r w:rsidRPr="00A4129C">
        <w:rPr>
          <w:rFonts w:asciiTheme="minorHAnsi" w:hAnsiTheme="minorHAnsi"/>
          <w:sz w:val="20"/>
          <w:szCs w:val="20"/>
        </w:rPr>
        <w:t xml:space="preserve"> (per lo più </w:t>
      </w:r>
      <w:hyperlink r:id="rId64" w:tooltip="Sunnismo" w:history="1">
        <w:r w:rsidRPr="00A4129C">
          <w:rPr>
            <w:rStyle w:val="Collegamentoipertestuale"/>
            <w:rFonts w:asciiTheme="minorHAnsi" w:hAnsiTheme="minorHAnsi"/>
            <w:sz w:val="20"/>
            <w:szCs w:val="20"/>
          </w:rPr>
          <w:t>sunniti</w:t>
        </w:r>
      </w:hyperlink>
      <w:r w:rsidRPr="00A4129C">
        <w:rPr>
          <w:rFonts w:asciiTheme="minorHAnsi" w:hAnsiTheme="minorHAnsi"/>
          <w:sz w:val="20"/>
          <w:szCs w:val="20"/>
        </w:rPr>
        <w:t xml:space="preserve">, ma anche </w:t>
      </w:r>
      <w:hyperlink r:id="rId65" w:tooltip="Ibaditi" w:history="1">
        <w:r w:rsidRPr="00A4129C">
          <w:rPr>
            <w:rStyle w:val="Collegamentoipertestuale"/>
            <w:rFonts w:asciiTheme="minorHAnsi" w:hAnsiTheme="minorHAnsi"/>
            <w:sz w:val="20"/>
            <w:szCs w:val="20"/>
          </w:rPr>
          <w:t>ibaditi</w:t>
        </w:r>
      </w:hyperlink>
      <w:r w:rsidRPr="00A4129C">
        <w:rPr>
          <w:rFonts w:asciiTheme="minorHAnsi" w:hAnsiTheme="minorHAnsi"/>
          <w:sz w:val="20"/>
          <w:szCs w:val="20"/>
        </w:rPr>
        <w:t xml:space="preserve">, cioè </w:t>
      </w:r>
      <w:hyperlink r:id="rId66" w:tooltip="Kharigiti" w:history="1">
        <w:r w:rsidRPr="00A4129C">
          <w:rPr>
            <w:rStyle w:val="Collegamentoipertestuale"/>
            <w:rFonts w:asciiTheme="minorHAnsi" w:hAnsiTheme="minorHAnsi"/>
            <w:sz w:val="20"/>
            <w:szCs w:val="20"/>
          </w:rPr>
          <w:t>kharigiti</w:t>
        </w:r>
      </w:hyperlink>
      <w:r w:rsidRPr="00A4129C">
        <w:rPr>
          <w:rFonts w:asciiTheme="minorHAnsi" w:hAnsiTheme="minorHAnsi"/>
          <w:sz w:val="20"/>
          <w:szCs w:val="20"/>
        </w:rPr>
        <w:t xml:space="preserve">) sono circa il 97%, i </w:t>
      </w:r>
      <w:hyperlink r:id="rId67" w:tooltip="Cristiani" w:history="1">
        <w:r w:rsidRPr="00A4129C">
          <w:rPr>
            <w:rStyle w:val="Collegamentoipertestuale"/>
            <w:rFonts w:asciiTheme="minorHAnsi" w:hAnsiTheme="minorHAnsi"/>
            <w:sz w:val="20"/>
            <w:szCs w:val="20"/>
          </w:rPr>
          <w:t>cristiani</w:t>
        </w:r>
      </w:hyperlink>
      <w:r w:rsidRPr="00A4129C">
        <w:rPr>
          <w:rFonts w:asciiTheme="minorHAnsi" w:hAnsiTheme="minorHAnsi"/>
          <w:sz w:val="20"/>
          <w:szCs w:val="20"/>
        </w:rPr>
        <w:t xml:space="preserve"> sono circa il 3%, e di questi circa 56 000 sono </w:t>
      </w:r>
      <w:hyperlink r:id="rId68" w:tooltip="Cattolicesimo" w:history="1">
        <w:r w:rsidRPr="00A4129C">
          <w:rPr>
            <w:rStyle w:val="Collegamentoipertestuale"/>
            <w:rFonts w:asciiTheme="minorHAnsi" w:hAnsiTheme="minorHAnsi"/>
            <w:sz w:val="20"/>
            <w:szCs w:val="20"/>
          </w:rPr>
          <w:t>cattolici</w:t>
        </w:r>
      </w:hyperlink>
      <w:r w:rsidRPr="00A4129C">
        <w:rPr>
          <w:rFonts w:asciiTheme="minorHAnsi" w:hAnsiTheme="minorHAnsi"/>
          <w:sz w:val="20"/>
          <w:szCs w:val="20"/>
        </w:rPr>
        <w:t xml:space="preserve">. La maggioranza della popolazione araba e arabo-berbera è </w:t>
      </w:r>
      <w:hyperlink r:id="rId69" w:tooltip="Sunnismo" w:history="1">
        <w:r w:rsidRPr="00A4129C">
          <w:rPr>
            <w:rStyle w:val="Collegamentoipertestuale"/>
            <w:rFonts w:asciiTheme="minorHAnsi" w:hAnsiTheme="minorHAnsi"/>
            <w:sz w:val="20"/>
            <w:szCs w:val="20"/>
          </w:rPr>
          <w:t>sunnita</w:t>
        </w:r>
      </w:hyperlink>
      <w:r w:rsidRPr="00A4129C">
        <w:rPr>
          <w:rFonts w:asciiTheme="minorHAnsi" w:hAnsiTheme="minorHAnsi"/>
          <w:sz w:val="20"/>
          <w:szCs w:val="20"/>
        </w:rPr>
        <w:t xml:space="preserve">, mentre la maggioranza dei berberi del </w:t>
      </w:r>
      <w:hyperlink r:id="rId70" w:tooltip="Gebel Nefusa" w:history="1">
        <w:proofErr w:type="spellStart"/>
        <w:r w:rsidRPr="00A4129C">
          <w:rPr>
            <w:rStyle w:val="Collegamentoipertestuale"/>
            <w:rFonts w:asciiTheme="minorHAnsi" w:hAnsiTheme="minorHAnsi"/>
            <w:sz w:val="20"/>
            <w:szCs w:val="20"/>
          </w:rPr>
          <w:t>Gebel</w:t>
        </w:r>
        <w:proofErr w:type="spellEnd"/>
        <w:r w:rsidRPr="00A4129C">
          <w:rPr>
            <w:rStyle w:val="Collegamentoipertestuale"/>
            <w:rFonts w:asciiTheme="minorHAnsi" w:hAnsiTheme="minorHAnsi"/>
            <w:sz w:val="20"/>
            <w:szCs w:val="20"/>
          </w:rPr>
          <w:t xml:space="preserve"> Nefusa</w:t>
        </w:r>
      </w:hyperlink>
      <w:r w:rsidRPr="00A4129C">
        <w:rPr>
          <w:rFonts w:asciiTheme="minorHAnsi" w:hAnsiTheme="minorHAnsi"/>
          <w:sz w:val="20"/>
          <w:szCs w:val="20"/>
        </w:rPr>
        <w:t xml:space="preserve"> è </w:t>
      </w:r>
      <w:hyperlink r:id="rId71" w:tooltip="Ibaditi" w:history="1">
        <w:r w:rsidRPr="00A4129C">
          <w:rPr>
            <w:rStyle w:val="Collegamentoipertestuale"/>
            <w:rFonts w:asciiTheme="minorHAnsi" w:hAnsiTheme="minorHAnsi"/>
            <w:sz w:val="20"/>
            <w:szCs w:val="20"/>
          </w:rPr>
          <w:t>ibadita</w:t>
        </w:r>
      </w:hyperlink>
      <w:r w:rsidRPr="00A4129C">
        <w:rPr>
          <w:rFonts w:asciiTheme="minorHAnsi" w:hAnsiTheme="minorHAnsi"/>
          <w:sz w:val="20"/>
          <w:szCs w:val="20"/>
        </w:rPr>
        <w:t xml:space="preserve">. </w:t>
      </w:r>
    </w:p>
    <w:p w:rsidR="00A4129C" w:rsidRDefault="00A4129C" w:rsidP="00A4129C">
      <w:pPr>
        <w:pStyle w:val="NormaleWeb"/>
        <w:rPr>
          <w:rFonts w:asciiTheme="minorHAnsi" w:hAnsiTheme="minorHAnsi"/>
          <w:i/>
          <w:sz w:val="20"/>
          <w:szCs w:val="20"/>
        </w:rPr>
      </w:pPr>
      <w:r>
        <w:rPr>
          <w:rFonts w:asciiTheme="minorHAnsi" w:hAnsiTheme="minorHAnsi"/>
          <w:i/>
          <w:sz w:val="20"/>
          <w:szCs w:val="20"/>
        </w:rPr>
        <w:t xml:space="preserve">Ordinamento statale, economia e politica: </w:t>
      </w:r>
    </w:p>
    <w:p w:rsidR="00A74144" w:rsidRPr="00A74144" w:rsidRDefault="00A4129C" w:rsidP="00A74144">
      <w:pPr>
        <w:pStyle w:val="NormaleWeb"/>
        <w:numPr>
          <w:ilvl w:val="0"/>
          <w:numId w:val="2"/>
        </w:numPr>
        <w:rPr>
          <w:rFonts w:asciiTheme="minorHAnsi" w:hAnsiTheme="minorHAnsi"/>
          <w:sz w:val="20"/>
          <w:szCs w:val="20"/>
        </w:rPr>
      </w:pPr>
      <w:r w:rsidRPr="00A4129C">
        <w:rPr>
          <w:rFonts w:asciiTheme="minorHAnsi" w:hAnsiTheme="minorHAnsi"/>
          <w:sz w:val="20"/>
          <w:szCs w:val="20"/>
        </w:rPr>
        <w:t xml:space="preserve">Nel 2011, allo scoppio della </w:t>
      </w:r>
      <w:hyperlink r:id="rId72" w:tooltip="Prima guerra civile libica" w:history="1">
        <w:r w:rsidRPr="00A4129C">
          <w:rPr>
            <w:rStyle w:val="Collegamentoipertestuale"/>
            <w:rFonts w:asciiTheme="minorHAnsi" w:hAnsiTheme="minorHAnsi"/>
            <w:sz w:val="20"/>
            <w:szCs w:val="20"/>
          </w:rPr>
          <w:t>guerra civile</w:t>
        </w:r>
      </w:hyperlink>
      <w:r w:rsidRPr="00A4129C">
        <w:rPr>
          <w:rFonts w:asciiTheme="minorHAnsi" w:hAnsiTheme="minorHAnsi"/>
          <w:sz w:val="20"/>
          <w:szCs w:val="20"/>
        </w:rPr>
        <w:t xml:space="preserve"> due diverse autorità politiche affermavano di rappresentare il legittimo governo libico. La prima era l'</w:t>
      </w:r>
      <w:hyperlink r:id="rId73" w:tooltip="Comitato Generale Popolare di Libia" w:history="1">
        <w:r w:rsidRPr="00A4129C">
          <w:rPr>
            <w:rStyle w:val="Collegamentoipertestuale"/>
            <w:rFonts w:asciiTheme="minorHAnsi" w:hAnsiTheme="minorHAnsi"/>
            <w:sz w:val="20"/>
            <w:szCs w:val="20"/>
          </w:rPr>
          <w:t>esecutivo</w:t>
        </w:r>
      </w:hyperlink>
      <w:r w:rsidRPr="00A4129C">
        <w:rPr>
          <w:rFonts w:asciiTheme="minorHAnsi" w:hAnsiTheme="minorHAnsi"/>
          <w:sz w:val="20"/>
          <w:szCs w:val="20"/>
        </w:rPr>
        <w:t xml:space="preserve"> guidato da </w:t>
      </w:r>
      <w:hyperlink r:id="rId74" w:tooltip="Mu'ammar Gheddafi" w:history="1">
        <w:proofErr w:type="spellStart"/>
        <w:r w:rsidRPr="00A4129C">
          <w:rPr>
            <w:rStyle w:val="Collegamentoipertestuale"/>
            <w:rFonts w:asciiTheme="minorHAnsi" w:hAnsiTheme="minorHAnsi"/>
            <w:sz w:val="20"/>
            <w:szCs w:val="20"/>
          </w:rPr>
          <w:t>Mu'ammar</w:t>
        </w:r>
        <w:proofErr w:type="spellEnd"/>
        <w:r w:rsidRPr="00A4129C">
          <w:rPr>
            <w:rStyle w:val="Collegamentoipertestuale"/>
            <w:rFonts w:asciiTheme="minorHAnsi" w:hAnsiTheme="minorHAnsi"/>
            <w:sz w:val="20"/>
            <w:szCs w:val="20"/>
          </w:rPr>
          <w:t xml:space="preserve"> Gheddafi</w:t>
        </w:r>
      </w:hyperlink>
      <w:r w:rsidRPr="00A4129C">
        <w:rPr>
          <w:rFonts w:asciiTheme="minorHAnsi" w:hAnsiTheme="minorHAnsi"/>
          <w:sz w:val="20"/>
          <w:szCs w:val="20"/>
        </w:rPr>
        <w:t xml:space="preserve">, la seconda era il </w:t>
      </w:r>
      <w:hyperlink r:id="rId75" w:tooltip="Consiglio nazionale di transizione" w:history="1">
        <w:r w:rsidRPr="00A4129C">
          <w:rPr>
            <w:rStyle w:val="Collegamentoipertestuale"/>
            <w:rFonts w:asciiTheme="minorHAnsi" w:hAnsiTheme="minorHAnsi"/>
            <w:sz w:val="20"/>
            <w:szCs w:val="20"/>
          </w:rPr>
          <w:t>Consiglio nazionale di transizione</w:t>
        </w:r>
      </w:hyperlink>
      <w:r w:rsidRPr="00A4129C">
        <w:rPr>
          <w:rFonts w:asciiTheme="minorHAnsi" w:hAnsiTheme="minorHAnsi"/>
          <w:sz w:val="20"/>
          <w:szCs w:val="20"/>
        </w:rPr>
        <w:t xml:space="preserve"> (CNT), che si opponeva decisamente alla dittatura, quasi quarantennale, di Gheddafi. Il CNT, organo politico che guidava gli insorti, intendeva eleggere un'assemblea costituente per la definizione di un ordinamento democratico basato sullo svolgimento di elezioni libere e sulla separazione dei poteri</w:t>
      </w:r>
      <w:hyperlink r:id="rId76" w:anchor="cite_note-32" w:history="1">
        <w:r w:rsidRPr="00A4129C">
          <w:rPr>
            <w:rStyle w:val="Collegamentoipertestuale"/>
            <w:rFonts w:asciiTheme="minorHAnsi" w:hAnsiTheme="minorHAnsi"/>
            <w:sz w:val="20"/>
            <w:szCs w:val="20"/>
            <w:vertAlign w:val="superscript"/>
          </w:rPr>
          <w:t>[32]</w:t>
        </w:r>
      </w:hyperlink>
      <w:r w:rsidRPr="00A4129C">
        <w:rPr>
          <w:rFonts w:asciiTheme="minorHAnsi" w:hAnsiTheme="minorHAnsi"/>
          <w:sz w:val="20"/>
          <w:szCs w:val="20"/>
        </w:rPr>
        <w:t xml:space="preserve">. Il governo di Gheddafi, al potere dal </w:t>
      </w:r>
      <w:hyperlink r:id="rId77" w:tooltip="1969" w:history="1">
        <w:r w:rsidRPr="00A4129C">
          <w:rPr>
            <w:rStyle w:val="Collegamentoipertestuale"/>
            <w:rFonts w:asciiTheme="minorHAnsi" w:hAnsiTheme="minorHAnsi"/>
            <w:sz w:val="20"/>
            <w:szCs w:val="20"/>
          </w:rPr>
          <w:t>1969</w:t>
        </w:r>
      </w:hyperlink>
      <w:r w:rsidRPr="00A4129C">
        <w:rPr>
          <w:rFonts w:asciiTheme="minorHAnsi" w:hAnsiTheme="minorHAnsi"/>
          <w:sz w:val="20"/>
          <w:szCs w:val="20"/>
        </w:rPr>
        <w:t>, corrispondeva, in termini</w:t>
      </w:r>
      <w:r w:rsidRPr="00A4129C">
        <w:rPr>
          <w:rFonts w:asciiTheme="minorHAnsi" w:hAnsiTheme="minorHAnsi"/>
          <w:sz w:val="20"/>
          <w:szCs w:val="20"/>
        </w:rPr>
        <w:t xml:space="preserve"> </w:t>
      </w:r>
      <w:hyperlink r:id="rId78" w:tooltip="Scienza politica" w:history="1">
        <w:r w:rsidRPr="00A4129C">
          <w:rPr>
            <w:rStyle w:val="Collegamentoipertestuale"/>
            <w:rFonts w:asciiTheme="minorHAnsi" w:hAnsiTheme="minorHAnsi"/>
            <w:sz w:val="20"/>
            <w:szCs w:val="20"/>
          </w:rPr>
          <w:t>politologici</w:t>
        </w:r>
      </w:hyperlink>
      <w:r w:rsidRPr="00A4129C">
        <w:rPr>
          <w:rFonts w:asciiTheme="minorHAnsi" w:hAnsiTheme="minorHAnsi"/>
          <w:sz w:val="20"/>
          <w:szCs w:val="20"/>
        </w:rPr>
        <w:t xml:space="preserve">, a un </w:t>
      </w:r>
      <w:hyperlink r:id="rId79" w:tooltip="Autoritarismo" w:history="1">
        <w:r w:rsidRPr="00A4129C">
          <w:rPr>
            <w:rStyle w:val="Collegamentoipertestuale"/>
            <w:rFonts w:asciiTheme="minorHAnsi" w:hAnsiTheme="minorHAnsi"/>
            <w:sz w:val="20"/>
            <w:szCs w:val="20"/>
          </w:rPr>
          <w:t>regime autoritario</w:t>
        </w:r>
      </w:hyperlink>
      <w:r w:rsidRPr="00A4129C">
        <w:rPr>
          <w:rFonts w:asciiTheme="minorHAnsi" w:hAnsiTheme="minorHAnsi"/>
          <w:sz w:val="20"/>
          <w:szCs w:val="20"/>
        </w:rPr>
        <w:t xml:space="preserve"> </w:t>
      </w:r>
      <w:hyperlink r:id="rId80" w:tooltip="Militare" w:history="1">
        <w:r w:rsidRPr="00A4129C">
          <w:rPr>
            <w:rStyle w:val="Collegamentoipertestuale"/>
            <w:rFonts w:asciiTheme="minorHAnsi" w:hAnsiTheme="minorHAnsi"/>
            <w:sz w:val="20"/>
            <w:szCs w:val="20"/>
          </w:rPr>
          <w:t>militare</w:t>
        </w:r>
      </w:hyperlink>
      <w:r w:rsidRPr="00A4129C">
        <w:rPr>
          <w:rFonts w:asciiTheme="minorHAnsi" w:hAnsiTheme="minorHAnsi"/>
          <w:sz w:val="20"/>
          <w:szCs w:val="20"/>
        </w:rPr>
        <w:t xml:space="preserve">, con la presenza di una </w:t>
      </w:r>
      <w:hyperlink r:id="rId81" w:tooltip="Leadership" w:history="1">
        <w:r w:rsidRPr="00A4129C">
          <w:rPr>
            <w:rStyle w:val="Collegamentoipertestuale"/>
            <w:rFonts w:asciiTheme="minorHAnsi" w:hAnsiTheme="minorHAnsi"/>
            <w:sz w:val="20"/>
            <w:szCs w:val="20"/>
          </w:rPr>
          <w:t>leadership</w:t>
        </w:r>
      </w:hyperlink>
      <w:r w:rsidRPr="00A4129C">
        <w:rPr>
          <w:rFonts w:asciiTheme="minorHAnsi" w:hAnsiTheme="minorHAnsi"/>
          <w:sz w:val="20"/>
          <w:szCs w:val="20"/>
        </w:rPr>
        <w:t xml:space="preserve"> forte, un'</w:t>
      </w:r>
      <w:hyperlink r:id="rId82" w:tooltip="Ideologia" w:history="1">
        <w:r w:rsidRPr="00A4129C">
          <w:rPr>
            <w:rStyle w:val="Collegamentoipertestuale"/>
            <w:rFonts w:asciiTheme="minorHAnsi" w:hAnsiTheme="minorHAnsi"/>
            <w:sz w:val="20"/>
            <w:szCs w:val="20"/>
          </w:rPr>
          <w:t>ideologia</w:t>
        </w:r>
      </w:hyperlink>
      <w:r w:rsidRPr="00A4129C">
        <w:rPr>
          <w:rFonts w:asciiTheme="minorHAnsi" w:hAnsiTheme="minorHAnsi"/>
          <w:sz w:val="20"/>
          <w:szCs w:val="20"/>
        </w:rPr>
        <w:t xml:space="preserve"> incompiuta, e la mancanza di </w:t>
      </w:r>
      <w:hyperlink r:id="rId83" w:tooltip="Pluralismo" w:history="1">
        <w:r w:rsidRPr="00A4129C">
          <w:rPr>
            <w:rStyle w:val="Collegamentoipertestuale"/>
            <w:rFonts w:asciiTheme="minorHAnsi" w:hAnsiTheme="minorHAnsi"/>
            <w:sz w:val="20"/>
            <w:szCs w:val="20"/>
          </w:rPr>
          <w:t>pluralismo</w:t>
        </w:r>
      </w:hyperlink>
      <w:r w:rsidRPr="00A4129C">
        <w:rPr>
          <w:rFonts w:asciiTheme="minorHAnsi" w:hAnsiTheme="minorHAnsi"/>
          <w:sz w:val="20"/>
          <w:szCs w:val="20"/>
        </w:rPr>
        <w:t xml:space="preserve"> e di una qualsiasi parvenza di uno </w:t>
      </w:r>
      <w:hyperlink r:id="rId84" w:tooltip="Stato di diritto" w:history="1">
        <w:r w:rsidRPr="00A4129C">
          <w:rPr>
            <w:rStyle w:val="Collegamentoipertestuale"/>
            <w:rFonts w:asciiTheme="minorHAnsi" w:hAnsiTheme="minorHAnsi"/>
            <w:sz w:val="20"/>
            <w:szCs w:val="20"/>
          </w:rPr>
          <w:t xml:space="preserve">stato di </w:t>
        </w:r>
      </w:hyperlink>
      <w:r w:rsidRPr="00A4129C">
        <w:rPr>
          <w:rFonts w:asciiTheme="minorHAnsi" w:hAnsiTheme="minorHAnsi"/>
          <w:sz w:val="20"/>
          <w:szCs w:val="20"/>
        </w:rPr>
        <w:t>diritto.</w:t>
      </w:r>
      <w:r>
        <w:rPr>
          <w:rFonts w:asciiTheme="minorHAnsi" w:hAnsiTheme="minorHAnsi"/>
          <w:sz w:val="20"/>
          <w:szCs w:val="20"/>
        </w:rPr>
        <w:t xml:space="preserve"> </w:t>
      </w:r>
      <w:r w:rsidR="00A74144" w:rsidRPr="00A74144">
        <w:rPr>
          <w:rFonts w:asciiTheme="minorHAnsi" w:hAnsiTheme="minorHAnsi"/>
          <w:sz w:val="20"/>
          <w:szCs w:val="20"/>
        </w:rPr>
        <w:t xml:space="preserve">La Libia è composta da tre regioni geografiche e storiche: </w:t>
      </w:r>
    </w:p>
    <w:p w:rsidR="00A74144" w:rsidRPr="00A74144" w:rsidRDefault="00A74144" w:rsidP="00A74144">
      <w:pPr>
        <w:numPr>
          <w:ilvl w:val="0"/>
          <w:numId w:val="1"/>
        </w:numPr>
        <w:spacing w:before="100" w:beforeAutospacing="1" w:after="100" w:afterAutospacing="1" w:line="240" w:lineRule="auto"/>
        <w:rPr>
          <w:rFonts w:eastAsia="Times New Roman" w:cs="Times New Roman"/>
          <w:sz w:val="20"/>
          <w:szCs w:val="20"/>
          <w:lang w:eastAsia="it-IT"/>
        </w:rPr>
      </w:pPr>
      <w:r w:rsidRPr="00A74144">
        <w:rPr>
          <w:rFonts w:eastAsia="Times New Roman" w:cs="Times New Roman"/>
          <w:sz w:val="20"/>
          <w:szCs w:val="20"/>
          <w:lang w:eastAsia="it-IT"/>
        </w:rPr>
        <w:lastRenderedPageBreak/>
        <w:t xml:space="preserve">la </w:t>
      </w:r>
      <w:hyperlink r:id="rId85" w:tooltip="Cirenaica" w:history="1">
        <w:r w:rsidRPr="00A74144">
          <w:rPr>
            <w:rFonts w:eastAsia="Times New Roman" w:cs="Times New Roman"/>
            <w:color w:val="0000FF"/>
            <w:sz w:val="20"/>
            <w:szCs w:val="20"/>
            <w:u w:val="single"/>
            <w:lang w:eastAsia="it-IT"/>
          </w:rPr>
          <w:t>Cirenaica</w:t>
        </w:r>
      </w:hyperlink>
      <w:r w:rsidRPr="00A74144">
        <w:rPr>
          <w:rFonts w:eastAsia="Times New Roman" w:cs="Times New Roman"/>
          <w:sz w:val="20"/>
          <w:szCs w:val="20"/>
          <w:lang w:eastAsia="it-IT"/>
        </w:rPr>
        <w:t>, che occupa tutta la fascia orientale del territorio libico, lungo il confine con l'</w:t>
      </w:r>
      <w:hyperlink r:id="rId86" w:tooltip="Egitto" w:history="1">
        <w:r w:rsidRPr="00A74144">
          <w:rPr>
            <w:rFonts w:eastAsia="Times New Roman" w:cs="Times New Roman"/>
            <w:color w:val="0000FF"/>
            <w:sz w:val="20"/>
            <w:szCs w:val="20"/>
            <w:u w:val="single"/>
            <w:lang w:eastAsia="it-IT"/>
          </w:rPr>
          <w:t>Egitto</w:t>
        </w:r>
      </w:hyperlink>
      <w:r w:rsidRPr="00A74144">
        <w:rPr>
          <w:rFonts w:eastAsia="Times New Roman" w:cs="Times New Roman"/>
          <w:sz w:val="20"/>
          <w:szCs w:val="20"/>
          <w:lang w:eastAsia="it-IT"/>
        </w:rPr>
        <w:t xml:space="preserve">, dal </w:t>
      </w:r>
      <w:hyperlink r:id="rId87" w:tooltip="Mar Mediterraneo" w:history="1">
        <w:r w:rsidRPr="00A74144">
          <w:rPr>
            <w:rFonts w:eastAsia="Times New Roman" w:cs="Times New Roman"/>
            <w:color w:val="0000FF"/>
            <w:sz w:val="20"/>
            <w:szCs w:val="20"/>
            <w:u w:val="single"/>
            <w:lang w:eastAsia="it-IT"/>
          </w:rPr>
          <w:t>mar Mediterraneo</w:t>
        </w:r>
      </w:hyperlink>
      <w:r w:rsidRPr="00A74144">
        <w:rPr>
          <w:rFonts w:eastAsia="Times New Roman" w:cs="Times New Roman"/>
          <w:sz w:val="20"/>
          <w:szCs w:val="20"/>
          <w:lang w:eastAsia="it-IT"/>
        </w:rPr>
        <w:t xml:space="preserve">, al confine con il </w:t>
      </w:r>
      <w:hyperlink r:id="rId88" w:tooltip="Sudan" w:history="1">
        <w:r w:rsidRPr="00A74144">
          <w:rPr>
            <w:rFonts w:eastAsia="Times New Roman" w:cs="Times New Roman"/>
            <w:color w:val="0000FF"/>
            <w:sz w:val="20"/>
            <w:szCs w:val="20"/>
            <w:u w:val="single"/>
            <w:lang w:eastAsia="it-IT"/>
          </w:rPr>
          <w:t>Sudan</w:t>
        </w:r>
      </w:hyperlink>
      <w:r w:rsidRPr="00A74144">
        <w:rPr>
          <w:rFonts w:eastAsia="Times New Roman" w:cs="Times New Roman"/>
          <w:sz w:val="20"/>
          <w:szCs w:val="20"/>
          <w:lang w:eastAsia="it-IT"/>
        </w:rPr>
        <w:t xml:space="preserve"> e il </w:t>
      </w:r>
      <w:hyperlink r:id="rId89" w:tooltip="Ciad" w:history="1">
        <w:r w:rsidRPr="00A74144">
          <w:rPr>
            <w:rFonts w:eastAsia="Times New Roman" w:cs="Times New Roman"/>
            <w:color w:val="0000FF"/>
            <w:sz w:val="20"/>
            <w:szCs w:val="20"/>
            <w:u w:val="single"/>
            <w:lang w:eastAsia="it-IT"/>
          </w:rPr>
          <w:t>Ciad</w:t>
        </w:r>
      </w:hyperlink>
      <w:r w:rsidRPr="00A74144">
        <w:rPr>
          <w:rFonts w:eastAsia="Times New Roman" w:cs="Times New Roman"/>
          <w:sz w:val="20"/>
          <w:szCs w:val="20"/>
          <w:lang w:eastAsia="it-IT"/>
        </w:rPr>
        <w:t>;</w:t>
      </w:r>
    </w:p>
    <w:p w:rsidR="00A74144" w:rsidRPr="00A74144" w:rsidRDefault="00A74144" w:rsidP="00A74144">
      <w:pPr>
        <w:numPr>
          <w:ilvl w:val="0"/>
          <w:numId w:val="1"/>
        </w:numPr>
        <w:spacing w:before="100" w:beforeAutospacing="1" w:after="100" w:afterAutospacing="1" w:line="240" w:lineRule="auto"/>
        <w:rPr>
          <w:rFonts w:eastAsia="Times New Roman" w:cs="Times New Roman"/>
          <w:sz w:val="20"/>
          <w:szCs w:val="20"/>
          <w:lang w:eastAsia="it-IT"/>
        </w:rPr>
      </w:pPr>
      <w:r w:rsidRPr="00A74144">
        <w:rPr>
          <w:rFonts w:eastAsia="Times New Roman" w:cs="Times New Roman"/>
          <w:sz w:val="20"/>
          <w:szCs w:val="20"/>
          <w:lang w:eastAsia="it-IT"/>
        </w:rPr>
        <w:t xml:space="preserve">la </w:t>
      </w:r>
      <w:hyperlink r:id="rId90" w:tooltip="Tripolitania" w:history="1">
        <w:r w:rsidRPr="00A74144">
          <w:rPr>
            <w:rFonts w:eastAsia="Times New Roman" w:cs="Times New Roman"/>
            <w:color w:val="0000FF"/>
            <w:sz w:val="20"/>
            <w:szCs w:val="20"/>
            <w:u w:val="single"/>
            <w:lang w:eastAsia="it-IT"/>
          </w:rPr>
          <w:t>Tripolitania</w:t>
        </w:r>
      </w:hyperlink>
      <w:r w:rsidRPr="00A74144">
        <w:rPr>
          <w:rFonts w:eastAsia="Times New Roman" w:cs="Times New Roman"/>
          <w:sz w:val="20"/>
          <w:szCs w:val="20"/>
          <w:lang w:eastAsia="it-IT"/>
        </w:rPr>
        <w:t xml:space="preserve">, che occupa la fascia settentrionale, lungo il Mediterraneo, dal confine con la </w:t>
      </w:r>
      <w:hyperlink r:id="rId91" w:tooltip="Tunisia" w:history="1">
        <w:r w:rsidRPr="00A74144">
          <w:rPr>
            <w:rFonts w:eastAsia="Times New Roman" w:cs="Times New Roman"/>
            <w:color w:val="0000FF"/>
            <w:sz w:val="20"/>
            <w:szCs w:val="20"/>
            <w:u w:val="single"/>
            <w:lang w:eastAsia="it-IT"/>
          </w:rPr>
          <w:t>Tunisia</w:t>
        </w:r>
      </w:hyperlink>
      <w:r w:rsidRPr="00A74144">
        <w:rPr>
          <w:rFonts w:eastAsia="Times New Roman" w:cs="Times New Roman"/>
          <w:sz w:val="20"/>
          <w:szCs w:val="20"/>
          <w:lang w:eastAsia="it-IT"/>
        </w:rPr>
        <w:t xml:space="preserve">, fino alla fine del </w:t>
      </w:r>
      <w:hyperlink r:id="rId92" w:tooltip="Golfo della Sirte" w:history="1">
        <w:r w:rsidRPr="00A74144">
          <w:rPr>
            <w:rFonts w:eastAsia="Times New Roman" w:cs="Times New Roman"/>
            <w:color w:val="0000FF"/>
            <w:sz w:val="20"/>
            <w:szCs w:val="20"/>
            <w:u w:val="single"/>
            <w:lang w:eastAsia="it-IT"/>
          </w:rPr>
          <w:t>Golfo della Sirte</w:t>
        </w:r>
      </w:hyperlink>
      <w:r w:rsidRPr="00A74144">
        <w:rPr>
          <w:rFonts w:eastAsia="Times New Roman" w:cs="Times New Roman"/>
          <w:sz w:val="20"/>
          <w:szCs w:val="20"/>
          <w:lang w:eastAsia="it-IT"/>
        </w:rPr>
        <w:t>;</w:t>
      </w:r>
    </w:p>
    <w:p w:rsidR="00A74144" w:rsidRPr="00A74144" w:rsidRDefault="00A74144" w:rsidP="00A74144">
      <w:pPr>
        <w:numPr>
          <w:ilvl w:val="0"/>
          <w:numId w:val="1"/>
        </w:numPr>
        <w:spacing w:before="100" w:beforeAutospacing="1" w:after="100" w:afterAutospacing="1" w:line="240" w:lineRule="auto"/>
        <w:rPr>
          <w:rFonts w:eastAsia="Times New Roman" w:cs="Times New Roman"/>
          <w:sz w:val="20"/>
          <w:szCs w:val="20"/>
          <w:lang w:eastAsia="it-IT"/>
        </w:rPr>
      </w:pPr>
      <w:r w:rsidRPr="00A74144">
        <w:rPr>
          <w:rFonts w:eastAsia="Times New Roman" w:cs="Times New Roman"/>
          <w:sz w:val="20"/>
          <w:szCs w:val="20"/>
          <w:lang w:eastAsia="it-IT"/>
        </w:rPr>
        <w:t xml:space="preserve">il </w:t>
      </w:r>
      <w:hyperlink r:id="rId93" w:tooltip="Fezzan" w:history="1">
        <w:proofErr w:type="spellStart"/>
        <w:r w:rsidRPr="00A74144">
          <w:rPr>
            <w:rFonts w:eastAsia="Times New Roman" w:cs="Times New Roman"/>
            <w:color w:val="0000FF"/>
            <w:sz w:val="20"/>
            <w:szCs w:val="20"/>
            <w:u w:val="single"/>
            <w:lang w:eastAsia="it-IT"/>
          </w:rPr>
          <w:t>Fezzan</w:t>
        </w:r>
        <w:proofErr w:type="spellEnd"/>
      </w:hyperlink>
      <w:r w:rsidRPr="00A74144">
        <w:rPr>
          <w:rFonts w:eastAsia="Times New Roman" w:cs="Times New Roman"/>
          <w:sz w:val="20"/>
          <w:szCs w:val="20"/>
          <w:lang w:eastAsia="it-IT"/>
        </w:rPr>
        <w:t>, che occupa la parte sahariana a sud della Tripolitania, dal confine con l'</w:t>
      </w:r>
      <w:hyperlink r:id="rId94" w:tooltip="Algeria" w:history="1">
        <w:r w:rsidRPr="00A74144">
          <w:rPr>
            <w:rFonts w:eastAsia="Times New Roman" w:cs="Times New Roman"/>
            <w:color w:val="0000FF"/>
            <w:sz w:val="20"/>
            <w:szCs w:val="20"/>
            <w:u w:val="single"/>
            <w:lang w:eastAsia="it-IT"/>
          </w:rPr>
          <w:t>Algeria</w:t>
        </w:r>
      </w:hyperlink>
      <w:r w:rsidRPr="00A74144">
        <w:rPr>
          <w:rFonts w:eastAsia="Times New Roman" w:cs="Times New Roman"/>
          <w:sz w:val="20"/>
          <w:szCs w:val="20"/>
          <w:lang w:eastAsia="it-IT"/>
        </w:rPr>
        <w:t xml:space="preserve"> fino alla Cirenaica, lungo il confine con </w:t>
      </w:r>
      <w:hyperlink r:id="rId95" w:tooltip="Niger" w:history="1">
        <w:r w:rsidRPr="00A74144">
          <w:rPr>
            <w:rFonts w:eastAsia="Times New Roman" w:cs="Times New Roman"/>
            <w:color w:val="0000FF"/>
            <w:sz w:val="20"/>
            <w:szCs w:val="20"/>
            <w:u w:val="single"/>
            <w:lang w:eastAsia="it-IT"/>
          </w:rPr>
          <w:t>Niger</w:t>
        </w:r>
      </w:hyperlink>
      <w:r w:rsidRPr="00A74144">
        <w:rPr>
          <w:rFonts w:eastAsia="Times New Roman" w:cs="Times New Roman"/>
          <w:sz w:val="20"/>
          <w:szCs w:val="20"/>
          <w:lang w:eastAsia="it-IT"/>
        </w:rPr>
        <w:t xml:space="preserve"> e </w:t>
      </w:r>
      <w:hyperlink r:id="rId96" w:tooltip="Ciad" w:history="1">
        <w:r w:rsidRPr="00A74144">
          <w:rPr>
            <w:rFonts w:eastAsia="Times New Roman" w:cs="Times New Roman"/>
            <w:color w:val="0000FF"/>
            <w:sz w:val="20"/>
            <w:szCs w:val="20"/>
            <w:u w:val="single"/>
            <w:lang w:eastAsia="it-IT"/>
          </w:rPr>
          <w:t>Ciad</w:t>
        </w:r>
      </w:hyperlink>
      <w:r w:rsidRPr="00A74144">
        <w:rPr>
          <w:rFonts w:eastAsia="Times New Roman" w:cs="Times New Roman"/>
          <w:sz w:val="20"/>
          <w:szCs w:val="20"/>
          <w:lang w:eastAsia="it-IT"/>
        </w:rPr>
        <w:t xml:space="preserve">. A seguito dell'occupazione britannica, tale ripartizione assunse altresì una valenza amministrativa, con la contestuale soppressione delle 4 province e del Territorio Militare del Sud istituiti da Italo Balbo. Successivamente, nel </w:t>
      </w:r>
      <w:hyperlink r:id="rId97" w:tooltip="1963" w:history="1">
        <w:r w:rsidRPr="00A74144">
          <w:rPr>
            <w:rFonts w:eastAsia="Times New Roman" w:cs="Times New Roman"/>
            <w:color w:val="0000FF"/>
            <w:sz w:val="20"/>
            <w:szCs w:val="20"/>
            <w:u w:val="single"/>
            <w:lang w:eastAsia="it-IT"/>
          </w:rPr>
          <w:t>1963</w:t>
        </w:r>
      </w:hyperlink>
      <w:r w:rsidRPr="00A74144">
        <w:rPr>
          <w:rFonts w:eastAsia="Times New Roman" w:cs="Times New Roman"/>
          <w:sz w:val="20"/>
          <w:szCs w:val="20"/>
          <w:lang w:eastAsia="it-IT"/>
        </w:rPr>
        <w:t xml:space="preserve">, il Paese fu suddiviso in </w:t>
      </w:r>
      <w:hyperlink r:id="rId98" w:tooltip="Governatorati della Libia" w:history="1">
        <w:r w:rsidRPr="00A74144">
          <w:rPr>
            <w:rFonts w:eastAsia="Times New Roman" w:cs="Times New Roman"/>
            <w:color w:val="0000FF"/>
            <w:sz w:val="20"/>
            <w:szCs w:val="20"/>
            <w:u w:val="single"/>
            <w:lang w:eastAsia="it-IT"/>
          </w:rPr>
          <w:t>governatorati</w:t>
        </w:r>
      </w:hyperlink>
      <w:r w:rsidRPr="00A74144">
        <w:rPr>
          <w:rFonts w:eastAsia="Times New Roman" w:cs="Times New Roman"/>
          <w:sz w:val="20"/>
          <w:szCs w:val="20"/>
          <w:lang w:eastAsia="it-IT"/>
        </w:rPr>
        <w:t xml:space="preserve"> (</w:t>
      </w:r>
      <w:proofErr w:type="spellStart"/>
      <w:r w:rsidRPr="00A74144">
        <w:rPr>
          <w:rFonts w:eastAsia="Times New Roman" w:cs="Times New Roman"/>
          <w:i/>
          <w:iCs/>
          <w:sz w:val="20"/>
          <w:szCs w:val="20"/>
          <w:lang w:eastAsia="it-IT"/>
        </w:rPr>
        <w:t>muhafazat</w:t>
      </w:r>
      <w:proofErr w:type="spellEnd"/>
      <w:r w:rsidRPr="00A74144">
        <w:rPr>
          <w:rFonts w:eastAsia="Times New Roman" w:cs="Times New Roman"/>
          <w:sz w:val="20"/>
          <w:szCs w:val="20"/>
          <w:lang w:eastAsia="it-IT"/>
        </w:rPr>
        <w:t xml:space="preserve">); questi sarebbero rimasti sino al </w:t>
      </w:r>
      <w:hyperlink r:id="rId99" w:tooltip="1983" w:history="1">
        <w:r w:rsidRPr="00A74144">
          <w:rPr>
            <w:rFonts w:eastAsia="Times New Roman" w:cs="Times New Roman"/>
            <w:color w:val="0000FF"/>
            <w:sz w:val="20"/>
            <w:szCs w:val="20"/>
            <w:u w:val="single"/>
            <w:lang w:eastAsia="it-IT"/>
          </w:rPr>
          <w:t>1983</w:t>
        </w:r>
      </w:hyperlink>
      <w:r w:rsidRPr="00A74144">
        <w:rPr>
          <w:rFonts w:eastAsia="Times New Roman" w:cs="Times New Roman"/>
          <w:sz w:val="20"/>
          <w:szCs w:val="20"/>
          <w:lang w:eastAsia="it-IT"/>
        </w:rPr>
        <w:t>, quando fu introdotto il sistema basato sulle municipalità (</w:t>
      </w:r>
      <w:proofErr w:type="spellStart"/>
      <w:r w:rsidRPr="00A74144">
        <w:rPr>
          <w:rFonts w:eastAsia="Times New Roman" w:cs="Times New Roman"/>
          <w:i/>
          <w:iCs/>
          <w:sz w:val="20"/>
          <w:szCs w:val="20"/>
          <w:lang w:eastAsia="it-IT"/>
        </w:rPr>
        <w:t>baladiyat</w:t>
      </w:r>
      <w:proofErr w:type="spellEnd"/>
      <w:r w:rsidRPr="00A74144">
        <w:rPr>
          <w:rFonts w:eastAsia="Times New Roman" w:cs="Times New Roman"/>
          <w:sz w:val="20"/>
          <w:szCs w:val="20"/>
          <w:lang w:eastAsia="it-IT"/>
        </w:rPr>
        <w:t xml:space="preserve">), a loro volta sostituite dai </w:t>
      </w:r>
      <w:hyperlink r:id="rId100" w:tooltip="Distretti della Libia" w:history="1">
        <w:r w:rsidRPr="00A74144">
          <w:rPr>
            <w:rFonts w:eastAsia="Times New Roman" w:cs="Times New Roman"/>
            <w:color w:val="0000FF"/>
            <w:sz w:val="20"/>
            <w:szCs w:val="20"/>
            <w:u w:val="single"/>
            <w:lang w:eastAsia="it-IT"/>
          </w:rPr>
          <w:t>distretti</w:t>
        </w:r>
      </w:hyperlink>
      <w:r w:rsidRPr="00A74144">
        <w:rPr>
          <w:rFonts w:eastAsia="Times New Roman" w:cs="Times New Roman"/>
          <w:sz w:val="20"/>
          <w:szCs w:val="20"/>
          <w:lang w:eastAsia="it-IT"/>
        </w:rPr>
        <w:t xml:space="preserve"> (</w:t>
      </w:r>
      <w:proofErr w:type="spellStart"/>
      <w:r w:rsidRPr="00A74144">
        <w:rPr>
          <w:rFonts w:eastAsia="Times New Roman" w:cs="Times New Roman"/>
          <w:i/>
          <w:iCs/>
          <w:sz w:val="20"/>
          <w:szCs w:val="20"/>
          <w:lang w:eastAsia="it-IT"/>
        </w:rPr>
        <w:t>sha'biyat</w:t>
      </w:r>
      <w:proofErr w:type="spellEnd"/>
      <w:r w:rsidRPr="00A74144">
        <w:rPr>
          <w:rFonts w:eastAsia="Times New Roman" w:cs="Times New Roman"/>
          <w:sz w:val="20"/>
          <w:szCs w:val="20"/>
          <w:lang w:eastAsia="it-IT"/>
        </w:rPr>
        <w:t xml:space="preserve">) nel </w:t>
      </w:r>
      <w:hyperlink r:id="rId101" w:tooltip="1995" w:history="1">
        <w:r w:rsidRPr="00A74144">
          <w:rPr>
            <w:rFonts w:eastAsia="Times New Roman" w:cs="Times New Roman"/>
            <w:color w:val="0000FF"/>
            <w:sz w:val="20"/>
            <w:szCs w:val="20"/>
            <w:u w:val="single"/>
            <w:lang w:eastAsia="it-IT"/>
          </w:rPr>
          <w:t>1995</w:t>
        </w:r>
      </w:hyperlink>
      <w:r w:rsidRPr="00A74144">
        <w:rPr>
          <w:rFonts w:eastAsia="Times New Roman" w:cs="Times New Roman"/>
          <w:sz w:val="20"/>
          <w:szCs w:val="20"/>
          <w:lang w:eastAsia="it-IT"/>
        </w:rPr>
        <w:t xml:space="preserve">. </w:t>
      </w:r>
    </w:p>
    <w:p w:rsidR="00A74144" w:rsidRDefault="00A74144" w:rsidP="00A74144">
      <w:pPr>
        <w:pStyle w:val="NormaleWeb"/>
        <w:numPr>
          <w:ilvl w:val="0"/>
          <w:numId w:val="2"/>
        </w:numPr>
        <w:rPr>
          <w:rFonts w:asciiTheme="minorHAnsi" w:hAnsiTheme="minorHAnsi"/>
          <w:sz w:val="20"/>
          <w:szCs w:val="20"/>
        </w:rPr>
      </w:pPr>
      <w:r>
        <w:t xml:space="preserve"> </w:t>
      </w:r>
      <w:r w:rsidRPr="00A74144">
        <w:rPr>
          <w:rFonts w:asciiTheme="minorHAnsi" w:hAnsiTheme="minorHAnsi"/>
          <w:sz w:val="20"/>
          <w:szCs w:val="20"/>
        </w:rPr>
        <w:t>Prodotto Nazionale Lordo,</w:t>
      </w:r>
      <w:hyperlink r:id="rId102" w:anchor="cite_note-35" w:history="1">
        <w:r w:rsidRPr="00A74144">
          <w:rPr>
            <w:rStyle w:val="Collegamentoipertestuale"/>
            <w:rFonts w:asciiTheme="minorHAnsi" w:hAnsiTheme="minorHAnsi"/>
            <w:sz w:val="20"/>
            <w:szCs w:val="20"/>
            <w:vertAlign w:val="superscript"/>
          </w:rPr>
          <w:t>[35]</w:t>
        </w:r>
      </w:hyperlink>
      <w:r w:rsidRPr="00A74144">
        <w:rPr>
          <w:rFonts w:asciiTheme="minorHAnsi" w:hAnsiTheme="minorHAnsi"/>
          <w:sz w:val="20"/>
          <w:szCs w:val="20"/>
        </w:rPr>
        <w:t xml:space="preserve"> 76,5 miliardi di $</w:t>
      </w:r>
      <w:hyperlink r:id="rId103" w:anchor="cite_note-36" w:history="1">
        <w:r w:rsidRPr="00A74144">
          <w:rPr>
            <w:rStyle w:val="Collegamentoipertestuale"/>
            <w:rFonts w:asciiTheme="minorHAnsi" w:hAnsiTheme="minorHAnsi"/>
            <w:sz w:val="20"/>
            <w:szCs w:val="20"/>
            <w:vertAlign w:val="superscript"/>
          </w:rPr>
          <w:t>[36]</w:t>
        </w:r>
      </w:hyperlink>
      <w:r w:rsidRPr="00A74144">
        <w:rPr>
          <w:rFonts w:asciiTheme="minorHAnsi" w:hAnsiTheme="minorHAnsi"/>
          <w:sz w:val="20"/>
          <w:szCs w:val="20"/>
        </w:rPr>
        <w:t>, corrispondente a quasi 12 000 $ pro capite</w:t>
      </w:r>
      <w:hyperlink r:id="rId104" w:anchor="cite_note-37" w:history="1">
        <w:r w:rsidRPr="00A74144">
          <w:rPr>
            <w:rStyle w:val="Collegamentoipertestuale"/>
            <w:rFonts w:asciiTheme="minorHAnsi" w:hAnsiTheme="minorHAnsi"/>
            <w:sz w:val="20"/>
            <w:szCs w:val="20"/>
            <w:vertAlign w:val="superscript"/>
          </w:rPr>
          <w:t>[37]</w:t>
        </w:r>
      </w:hyperlink>
      <w:r w:rsidRPr="00A74144">
        <w:rPr>
          <w:rFonts w:asciiTheme="minorHAnsi" w:hAnsiTheme="minorHAnsi"/>
          <w:sz w:val="20"/>
          <w:szCs w:val="20"/>
        </w:rPr>
        <w:t>.</w:t>
      </w:r>
      <w:r>
        <w:rPr>
          <w:rFonts w:asciiTheme="minorHAnsi" w:hAnsiTheme="minorHAnsi"/>
          <w:sz w:val="20"/>
          <w:szCs w:val="20"/>
        </w:rPr>
        <w:t xml:space="preserve"> </w:t>
      </w:r>
      <w:r w:rsidRPr="00A74144">
        <w:rPr>
          <w:rFonts w:asciiTheme="minorHAnsi" w:hAnsiTheme="minorHAnsi"/>
          <w:sz w:val="20"/>
          <w:szCs w:val="20"/>
        </w:rPr>
        <w:t xml:space="preserve">Fino agli </w:t>
      </w:r>
      <w:hyperlink r:id="rId105" w:tooltip="Anni 1950" w:history="1">
        <w:r w:rsidRPr="00A74144">
          <w:rPr>
            <w:rFonts w:asciiTheme="minorHAnsi" w:hAnsiTheme="minorHAnsi"/>
            <w:color w:val="0000FF"/>
            <w:sz w:val="20"/>
            <w:szCs w:val="20"/>
            <w:u w:val="single"/>
          </w:rPr>
          <w:t>anni cinquanta</w:t>
        </w:r>
      </w:hyperlink>
      <w:r w:rsidRPr="00A74144">
        <w:rPr>
          <w:rFonts w:asciiTheme="minorHAnsi" w:hAnsiTheme="minorHAnsi"/>
          <w:sz w:val="20"/>
          <w:szCs w:val="20"/>
        </w:rPr>
        <w:t xml:space="preserve"> del </w:t>
      </w:r>
      <w:hyperlink r:id="rId106" w:tooltip="XX secolo" w:history="1">
        <w:r w:rsidRPr="00A74144">
          <w:rPr>
            <w:rFonts w:asciiTheme="minorHAnsi" w:hAnsiTheme="minorHAnsi"/>
            <w:color w:val="0000FF"/>
            <w:sz w:val="20"/>
            <w:szCs w:val="20"/>
            <w:u w:val="single"/>
          </w:rPr>
          <w:t>XX secolo</w:t>
        </w:r>
      </w:hyperlink>
      <w:r w:rsidRPr="00A74144">
        <w:rPr>
          <w:rFonts w:asciiTheme="minorHAnsi" w:hAnsiTheme="minorHAnsi"/>
          <w:sz w:val="20"/>
          <w:szCs w:val="20"/>
        </w:rPr>
        <w:t xml:space="preserve"> considerata uno dei paesi più poveri del mondo, soprattutto a causa dell'improduttività del territorio, la Libia registrava già nel </w:t>
      </w:r>
      <w:hyperlink r:id="rId107" w:tooltip="1977" w:history="1">
        <w:r w:rsidRPr="00A74144">
          <w:rPr>
            <w:rFonts w:asciiTheme="minorHAnsi" w:hAnsiTheme="minorHAnsi"/>
            <w:color w:val="0000FF"/>
            <w:sz w:val="20"/>
            <w:szCs w:val="20"/>
            <w:u w:val="single"/>
          </w:rPr>
          <w:t>1977</w:t>
        </w:r>
      </w:hyperlink>
      <w:r w:rsidRPr="00A74144">
        <w:rPr>
          <w:rFonts w:asciiTheme="minorHAnsi" w:hAnsiTheme="minorHAnsi"/>
          <w:sz w:val="20"/>
          <w:szCs w:val="20"/>
        </w:rPr>
        <w:t xml:space="preserve"> il </w:t>
      </w:r>
      <w:hyperlink r:id="rId108" w:tooltip="Reddito" w:history="1">
        <w:r w:rsidRPr="00A74144">
          <w:rPr>
            <w:rFonts w:asciiTheme="minorHAnsi" w:hAnsiTheme="minorHAnsi"/>
            <w:color w:val="0000FF"/>
            <w:sz w:val="20"/>
            <w:szCs w:val="20"/>
            <w:u w:val="single"/>
          </w:rPr>
          <w:t>reddito</w:t>
        </w:r>
      </w:hyperlink>
      <w:r w:rsidRPr="00A74144">
        <w:rPr>
          <w:rFonts w:asciiTheme="minorHAnsi" w:hAnsiTheme="minorHAnsi"/>
          <w:sz w:val="20"/>
          <w:szCs w:val="20"/>
        </w:rPr>
        <w:t xml:space="preserve"> annuo </w:t>
      </w:r>
      <w:hyperlink r:id="rId109" w:tooltip="Pro capite" w:history="1">
        <w:r w:rsidRPr="00A74144">
          <w:rPr>
            <w:rFonts w:asciiTheme="minorHAnsi" w:hAnsiTheme="minorHAnsi"/>
            <w:color w:val="0000FF"/>
            <w:sz w:val="20"/>
            <w:szCs w:val="20"/>
            <w:u w:val="single"/>
          </w:rPr>
          <w:t>pro capite</w:t>
        </w:r>
      </w:hyperlink>
      <w:r w:rsidRPr="00A74144">
        <w:rPr>
          <w:rFonts w:asciiTheme="minorHAnsi" w:hAnsiTheme="minorHAnsi"/>
          <w:sz w:val="20"/>
          <w:szCs w:val="20"/>
        </w:rPr>
        <w:t xml:space="preserve"> più elevato del continente africano</w:t>
      </w:r>
      <w:hyperlink r:id="rId110" w:anchor="cite_note-38" w:history="1">
        <w:r w:rsidRPr="00A74144">
          <w:rPr>
            <w:rFonts w:asciiTheme="minorHAnsi" w:hAnsiTheme="minorHAnsi"/>
            <w:color w:val="0000FF"/>
            <w:sz w:val="20"/>
            <w:szCs w:val="20"/>
            <w:u w:val="single"/>
            <w:vertAlign w:val="superscript"/>
          </w:rPr>
          <w:t>[38]</w:t>
        </w:r>
      </w:hyperlink>
      <w:r w:rsidRPr="00A74144">
        <w:rPr>
          <w:rFonts w:asciiTheme="minorHAnsi" w:hAnsiTheme="minorHAnsi"/>
          <w:sz w:val="20"/>
          <w:szCs w:val="20"/>
        </w:rPr>
        <w:t xml:space="preserve">, grazie allo sfruttamento dei grandi giacimenti di </w:t>
      </w:r>
      <w:hyperlink r:id="rId111" w:tooltip="Petrolio" w:history="1">
        <w:r w:rsidRPr="00A74144">
          <w:rPr>
            <w:rFonts w:asciiTheme="minorHAnsi" w:hAnsiTheme="minorHAnsi"/>
            <w:color w:val="0000FF"/>
            <w:sz w:val="20"/>
            <w:szCs w:val="20"/>
            <w:u w:val="single"/>
          </w:rPr>
          <w:t>petrolio</w:t>
        </w:r>
      </w:hyperlink>
      <w:r w:rsidRPr="00A74144">
        <w:rPr>
          <w:rFonts w:asciiTheme="minorHAnsi" w:hAnsiTheme="minorHAnsi"/>
          <w:sz w:val="20"/>
          <w:szCs w:val="20"/>
        </w:rPr>
        <w:t xml:space="preserve">, iniziato nel </w:t>
      </w:r>
      <w:hyperlink r:id="rId112" w:tooltip="1959" w:history="1">
        <w:r w:rsidRPr="00A74144">
          <w:rPr>
            <w:rFonts w:asciiTheme="minorHAnsi" w:hAnsiTheme="minorHAnsi"/>
            <w:color w:val="0000FF"/>
            <w:sz w:val="20"/>
            <w:szCs w:val="20"/>
            <w:u w:val="single"/>
          </w:rPr>
          <w:t>1959</w:t>
        </w:r>
      </w:hyperlink>
      <w:r w:rsidRPr="00A74144">
        <w:rPr>
          <w:rFonts w:asciiTheme="minorHAnsi" w:hAnsiTheme="minorHAnsi"/>
          <w:sz w:val="20"/>
          <w:szCs w:val="20"/>
        </w:rPr>
        <w:t xml:space="preserve"> e nazionalizzato dopo il </w:t>
      </w:r>
      <w:hyperlink r:id="rId113" w:tooltip="1970" w:history="1">
        <w:r w:rsidRPr="00A74144">
          <w:rPr>
            <w:rFonts w:asciiTheme="minorHAnsi" w:hAnsiTheme="minorHAnsi"/>
            <w:color w:val="0000FF"/>
            <w:sz w:val="20"/>
            <w:szCs w:val="20"/>
            <w:u w:val="single"/>
          </w:rPr>
          <w:t>1970</w:t>
        </w:r>
      </w:hyperlink>
      <w:r w:rsidRPr="00A74144">
        <w:rPr>
          <w:rFonts w:asciiTheme="minorHAnsi" w:hAnsiTheme="minorHAnsi"/>
          <w:sz w:val="20"/>
          <w:szCs w:val="20"/>
        </w:rPr>
        <w:t>. Oltre a nazionalizzare sia le principali risorse del Paese,</w:t>
      </w:r>
      <w:hyperlink r:id="rId114" w:anchor="cite_note-39" w:history="1">
        <w:r w:rsidRPr="00A74144">
          <w:rPr>
            <w:rFonts w:asciiTheme="minorHAnsi" w:hAnsiTheme="minorHAnsi"/>
            <w:color w:val="0000FF"/>
            <w:sz w:val="20"/>
            <w:szCs w:val="20"/>
            <w:u w:val="single"/>
            <w:vertAlign w:val="superscript"/>
          </w:rPr>
          <w:t>[39]</w:t>
        </w:r>
      </w:hyperlink>
      <w:r w:rsidRPr="00A74144">
        <w:rPr>
          <w:rFonts w:asciiTheme="minorHAnsi" w:hAnsiTheme="minorHAnsi"/>
          <w:sz w:val="20"/>
          <w:szCs w:val="20"/>
        </w:rPr>
        <w:t xml:space="preserve"> che le attività produttive, il nuovo </w:t>
      </w:r>
      <w:hyperlink r:id="rId115" w:tooltip="Regime (politica)" w:history="1">
        <w:r w:rsidRPr="00A74144">
          <w:rPr>
            <w:rFonts w:asciiTheme="minorHAnsi" w:hAnsiTheme="minorHAnsi"/>
            <w:color w:val="0000FF"/>
            <w:sz w:val="20"/>
            <w:szCs w:val="20"/>
            <w:u w:val="single"/>
          </w:rPr>
          <w:t>regime</w:t>
        </w:r>
      </w:hyperlink>
      <w:r w:rsidRPr="00A74144">
        <w:rPr>
          <w:rFonts w:asciiTheme="minorHAnsi" w:hAnsiTheme="minorHAnsi"/>
          <w:sz w:val="20"/>
          <w:szCs w:val="20"/>
        </w:rPr>
        <w:t xml:space="preserve"> investì anche nello sviluppo dell'</w:t>
      </w:r>
      <w:hyperlink r:id="rId116" w:tooltip="Industria leggera" w:history="1">
        <w:r w:rsidRPr="00A74144">
          <w:rPr>
            <w:rFonts w:asciiTheme="minorHAnsi" w:hAnsiTheme="minorHAnsi"/>
            <w:color w:val="0000FF"/>
            <w:sz w:val="20"/>
            <w:szCs w:val="20"/>
            <w:u w:val="single"/>
          </w:rPr>
          <w:t>industria leggera</w:t>
        </w:r>
      </w:hyperlink>
      <w:r w:rsidRPr="00A74144">
        <w:rPr>
          <w:rFonts w:asciiTheme="minorHAnsi" w:hAnsiTheme="minorHAnsi"/>
          <w:sz w:val="20"/>
          <w:szCs w:val="20"/>
        </w:rPr>
        <w:t xml:space="preserve"> e delle infrastrutture e nella modernizzazione dell'agricoltura, favorendo nel contempo l'immigrazione, per sopperire alla scarsità di manodopera. La diminuzione dei prezzi del petrolio negli </w:t>
      </w:r>
      <w:hyperlink r:id="rId117" w:tooltip="Anni 1980" w:history="1">
        <w:r w:rsidRPr="00A74144">
          <w:rPr>
            <w:rFonts w:asciiTheme="minorHAnsi" w:hAnsiTheme="minorHAnsi"/>
            <w:color w:val="0000FF"/>
            <w:sz w:val="20"/>
            <w:szCs w:val="20"/>
            <w:u w:val="single"/>
          </w:rPr>
          <w:t>anni ottanta</w:t>
        </w:r>
      </w:hyperlink>
      <w:r w:rsidRPr="00A74144">
        <w:rPr>
          <w:rFonts w:asciiTheme="minorHAnsi" w:hAnsiTheme="minorHAnsi"/>
          <w:sz w:val="20"/>
          <w:szCs w:val="20"/>
        </w:rPr>
        <w:t xml:space="preserve"> ha poi ridimensionato le possibilità di sviluppo del Paese, al punto che il </w:t>
      </w:r>
      <w:hyperlink r:id="rId118" w:tooltip="Prodotto interno lordo" w:history="1">
        <w:r w:rsidRPr="00A74144">
          <w:rPr>
            <w:rFonts w:asciiTheme="minorHAnsi" w:hAnsiTheme="minorHAnsi"/>
            <w:color w:val="0000FF"/>
            <w:sz w:val="20"/>
            <w:szCs w:val="20"/>
            <w:u w:val="single"/>
          </w:rPr>
          <w:t>PIL</w:t>
        </w:r>
      </w:hyperlink>
      <w:r w:rsidRPr="00A74144">
        <w:rPr>
          <w:rFonts w:asciiTheme="minorHAnsi" w:hAnsiTheme="minorHAnsi"/>
          <w:sz w:val="20"/>
          <w:szCs w:val="20"/>
        </w:rPr>
        <w:t xml:space="preserve"> ha fatto segnare in quel decennio un calo medio annuo del 5,4%; negli anni novanta il quadro economico ha risentito delle sanzioni economiche imposte alla Libia dall'</w:t>
      </w:r>
      <w:hyperlink r:id="rId119" w:tooltip="Organizzazione delle Nazioni Unite" w:history="1">
        <w:r w:rsidRPr="00A74144">
          <w:rPr>
            <w:rFonts w:asciiTheme="minorHAnsi" w:hAnsiTheme="minorHAnsi"/>
            <w:color w:val="0000FF"/>
            <w:sz w:val="20"/>
            <w:szCs w:val="20"/>
            <w:u w:val="single"/>
          </w:rPr>
          <w:t>ONU</w:t>
        </w:r>
      </w:hyperlink>
      <w:r w:rsidRPr="00A74144">
        <w:rPr>
          <w:rFonts w:asciiTheme="minorHAnsi" w:hAnsiTheme="minorHAnsi"/>
          <w:sz w:val="20"/>
          <w:szCs w:val="20"/>
        </w:rPr>
        <w:t xml:space="preserve"> nel </w:t>
      </w:r>
      <w:hyperlink r:id="rId120" w:tooltip="1991" w:history="1">
        <w:r w:rsidRPr="00A74144">
          <w:rPr>
            <w:rFonts w:asciiTheme="minorHAnsi" w:hAnsiTheme="minorHAnsi"/>
            <w:color w:val="0000FF"/>
            <w:sz w:val="20"/>
            <w:szCs w:val="20"/>
            <w:u w:val="single"/>
          </w:rPr>
          <w:t>1991</w:t>
        </w:r>
      </w:hyperlink>
      <w:r w:rsidRPr="00A74144">
        <w:rPr>
          <w:rFonts w:asciiTheme="minorHAnsi" w:hAnsiTheme="minorHAnsi"/>
          <w:sz w:val="20"/>
          <w:szCs w:val="20"/>
        </w:rPr>
        <w:t xml:space="preserve">, revocate nel 1997. Nel 2006 gli Stati Uniti hanno cancellato la Libia dall'elenco dei cosiddetti “Stati canaglia”. La moneta è il </w:t>
      </w:r>
      <w:hyperlink r:id="rId121" w:tooltip="Dinaro libico" w:history="1">
        <w:r w:rsidRPr="00A74144">
          <w:rPr>
            <w:rFonts w:asciiTheme="minorHAnsi" w:hAnsiTheme="minorHAnsi"/>
            <w:color w:val="0000FF"/>
            <w:sz w:val="20"/>
            <w:szCs w:val="20"/>
            <w:u w:val="single"/>
          </w:rPr>
          <w:t>dinaro libico</w:t>
        </w:r>
      </w:hyperlink>
      <w:r w:rsidRPr="00A74144">
        <w:rPr>
          <w:rFonts w:asciiTheme="minorHAnsi" w:hAnsiTheme="minorHAnsi"/>
          <w:sz w:val="20"/>
          <w:szCs w:val="20"/>
        </w:rPr>
        <w:t xml:space="preserve">. </w:t>
      </w:r>
    </w:p>
    <w:p w:rsidR="00A74144" w:rsidRPr="00A74144" w:rsidRDefault="00A74144" w:rsidP="00A74144">
      <w:pPr>
        <w:pStyle w:val="NormaleWeb"/>
        <w:numPr>
          <w:ilvl w:val="0"/>
          <w:numId w:val="2"/>
        </w:numPr>
        <w:rPr>
          <w:rFonts w:asciiTheme="minorHAnsi" w:hAnsiTheme="minorHAnsi"/>
          <w:sz w:val="20"/>
          <w:szCs w:val="20"/>
        </w:rPr>
      </w:pPr>
      <w:r w:rsidRPr="00A74144">
        <w:rPr>
          <w:rFonts w:asciiTheme="minorHAnsi" w:hAnsiTheme="minorHAnsi"/>
          <w:sz w:val="20"/>
          <w:szCs w:val="20"/>
        </w:rPr>
        <w:t>Dopo la caduta di Gheddafi, salì al potere un governo di transizione, che secondo i pensieri e le valutazioni popolari, non eseguì il lavoro di restaurazione richiesto.</w:t>
      </w:r>
      <w:r w:rsidRPr="00A74144">
        <w:rPr>
          <w:rFonts w:asciiTheme="minorHAnsi" w:hAnsiTheme="minorHAnsi"/>
          <w:sz w:val="20"/>
          <w:szCs w:val="20"/>
          <w:vertAlign w:val="superscript"/>
        </w:rPr>
        <w:t>[</w:t>
      </w:r>
      <w:hyperlink r:id="rId122" w:tooltip="Wikipedia:Uso delle fonti" w:history="1">
        <w:r w:rsidRPr="00A74144">
          <w:rPr>
            <w:rStyle w:val="Collegamentoipertestuale"/>
            <w:rFonts w:asciiTheme="minorHAnsi" w:hAnsiTheme="minorHAnsi"/>
            <w:i/>
            <w:iCs/>
            <w:sz w:val="20"/>
            <w:szCs w:val="20"/>
            <w:vertAlign w:val="superscript"/>
          </w:rPr>
          <w:t>senza fonte</w:t>
        </w:r>
      </w:hyperlink>
      <w:r w:rsidRPr="00A74144">
        <w:rPr>
          <w:rFonts w:asciiTheme="minorHAnsi" w:hAnsiTheme="minorHAnsi"/>
          <w:sz w:val="20"/>
          <w:szCs w:val="20"/>
          <w:vertAlign w:val="superscript"/>
        </w:rPr>
        <w:t>]</w:t>
      </w:r>
      <w:r w:rsidRPr="00A74144">
        <w:rPr>
          <w:rFonts w:asciiTheme="minorHAnsi" w:hAnsiTheme="minorHAnsi"/>
          <w:sz w:val="20"/>
          <w:szCs w:val="20"/>
        </w:rPr>
        <w:t xml:space="preserve"> Dopo le elezioni per l'assemblea nazionale costituente del luglio 2012, nell'aprile 2013 quest'ultimo indisse le nuove elezioni per eleggere il parlamento. Il popolo libico fu chiamato a partecipare ad un appuntamento democratico che mancava da ben 48 anni. Anche se quest'elezioni si svolsero in un clima opprimente, promossero a pieno titolo i </w:t>
      </w:r>
      <w:hyperlink r:id="rId123" w:tooltip="Liberalismo" w:history="1">
        <w:r w:rsidRPr="00A74144">
          <w:rPr>
            <w:rStyle w:val="Collegamentoipertestuale"/>
            <w:rFonts w:asciiTheme="minorHAnsi" w:hAnsiTheme="minorHAnsi"/>
            <w:sz w:val="20"/>
            <w:szCs w:val="20"/>
          </w:rPr>
          <w:t>liberali</w:t>
        </w:r>
      </w:hyperlink>
      <w:r w:rsidRPr="00A74144">
        <w:rPr>
          <w:rFonts w:asciiTheme="minorHAnsi" w:hAnsiTheme="minorHAnsi"/>
          <w:sz w:val="20"/>
          <w:szCs w:val="20"/>
        </w:rPr>
        <w:t xml:space="preserve">, capeggiati da </w:t>
      </w:r>
      <w:hyperlink r:id="rId124" w:tooltip="Mahmoud Jibril" w:history="1">
        <w:r w:rsidRPr="00A74144">
          <w:rPr>
            <w:rStyle w:val="Collegamentoipertestuale"/>
            <w:rFonts w:asciiTheme="minorHAnsi" w:hAnsiTheme="minorHAnsi"/>
            <w:sz w:val="20"/>
            <w:szCs w:val="20"/>
          </w:rPr>
          <w:t>Mahmoud Jibril</w:t>
        </w:r>
      </w:hyperlink>
      <w:r w:rsidRPr="00A74144">
        <w:rPr>
          <w:rFonts w:asciiTheme="minorHAnsi" w:hAnsiTheme="minorHAnsi"/>
          <w:sz w:val="20"/>
          <w:szCs w:val="20"/>
        </w:rPr>
        <w:t>, e il partito del Fronte Nazionale</w:t>
      </w:r>
      <w:hyperlink r:id="rId125" w:anchor="cite_note-33" w:history="1">
        <w:r w:rsidRPr="00A74144">
          <w:rPr>
            <w:rStyle w:val="Collegamentoipertestuale"/>
            <w:rFonts w:asciiTheme="minorHAnsi" w:hAnsiTheme="minorHAnsi"/>
            <w:sz w:val="20"/>
            <w:szCs w:val="20"/>
            <w:vertAlign w:val="superscript"/>
          </w:rPr>
          <w:t>[33]</w:t>
        </w:r>
      </w:hyperlink>
      <w:r w:rsidRPr="00A74144">
        <w:rPr>
          <w:rFonts w:asciiTheme="minorHAnsi" w:hAnsiTheme="minorHAnsi"/>
          <w:sz w:val="20"/>
          <w:szCs w:val="20"/>
        </w:rPr>
        <w:t xml:space="preserve">, portati avanti da Mohamed </w:t>
      </w:r>
      <w:proofErr w:type="spellStart"/>
      <w:r w:rsidRPr="00A74144">
        <w:rPr>
          <w:rFonts w:asciiTheme="minorHAnsi" w:hAnsiTheme="minorHAnsi"/>
          <w:sz w:val="20"/>
          <w:szCs w:val="20"/>
        </w:rPr>
        <w:t>el-Magariaf</w:t>
      </w:r>
      <w:proofErr w:type="spellEnd"/>
      <w:r w:rsidRPr="00A74144">
        <w:rPr>
          <w:rFonts w:asciiTheme="minorHAnsi" w:hAnsiTheme="minorHAnsi"/>
          <w:sz w:val="20"/>
          <w:szCs w:val="20"/>
        </w:rPr>
        <w:t xml:space="preserve">. In queste elezioni delusero gli islamisti, che furono sconfitti, anche se avevano l'appoggio del braccio libico dei </w:t>
      </w:r>
      <w:hyperlink r:id="rId126" w:tooltip="Fratelli Musulmani" w:history="1">
        <w:r w:rsidRPr="00A74144">
          <w:rPr>
            <w:rStyle w:val="Collegamentoipertestuale"/>
            <w:rFonts w:asciiTheme="minorHAnsi" w:hAnsiTheme="minorHAnsi"/>
            <w:sz w:val="20"/>
            <w:szCs w:val="20"/>
          </w:rPr>
          <w:t>Fratelli Musulmani</w:t>
        </w:r>
      </w:hyperlink>
      <w:r w:rsidRPr="00A74144">
        <w:rPr>
          <w:rFonts w:asciiTheme="minorHAnsi" w:hAnsiTheme="minorHAnsi"/>
          <w:sz w:val="20"/>
          <w:szCs w:val="20"/>
        </w:rPr>
        <w:t xml:space="preserve">, che poco tempo prima, aveva trionfato nel vicino </w:t>
      </w:r>
      <w:hyperlink r:id="rId127" w:tooltip="Egitto" w:history="1">
        <w:r w:rsidRPr="00A74144">
          <w:rPr>
            <w:rStyle w:val="Collegamentoipertestuale"/>
            <w:rFonts w:asciiTheme="minorHAnsi" w:hAnsiTheme="minorHAnsi"/>
            <w:sz w:val="20"/>
            <w:szCs w:val="20"/>
          </w:rPr>
          <w:t>Egitto</w:t>
        </w:r>
      </w:hyperlink>
      <w:r w:rsidRPr="00A74144">
        <w:rPr>
          <w:rFonts w:asciiTheme="minorHAnsi" w:hAnsiTheme="minorHAnsi"/>
          <w:sz w:val="20"/>
          <w:szCs w:val="20"/>
        </w:rPr>
        <w:t>. L'unica e concreta svolta positiva di queste elezioni fu la campagna elettorale, anch'essa mancante da molto tempo in Libia, che si fece sentire soprattutto a Tripoli. Coloro che si proposero come una vera alternativa al modello politico contemporaneo furono i liberali, che per questo, dopo tante fatiche e persecuzioni, vinsero.</w:t>
      </w:r>
    </w:p>
    <w:p w:rsidR="00A4129C" w:rsidRPr="00A74144" w:rsidRDefault="00A74144" w:rsidP="00A74144">
      <w:pPr>
        <w:pStyle w:val="NormaleWeb"/>
        <w:rPr>
          <w:rFonts w:asciiTheme="minorHAnsi" w:hAnsiTheme="minorHAnsi"/>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2627795</wp:posOffset>
                </wp:positionH>
                <wp:positionV relativeFrom="paragraph">
                  <wp:posOffset>643071</wp:posOffset>
                </wp:positionV>
                <wp:extent cx="2293374" cy="250722"/>
                <wp:effectExtent l="0" t="0" r="12065" b="16510"/>
                <wp:wrapNone/>
                <wp:docPr id="4" name="Casella di testo 4"/>
                <wp:cNvGraphicFramePr/>
                <a:graphic xmlns:a="http://schemas.openxmlformats.org/drawingml/2006/main">
                  <a:graphicData uri="http://schemas.microsoft.com/office/word/2010/wordprocessingShape">
                    <wps:wsp>
                      <wps:cNvSpPr txBox="1"/>
                      <wps:spPr>
                        <a:xfrm>
                          <a:off x="0" y="0"/>
                          <a:ext cx="2293374" cy="2507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144" w:rsidRDefault="00A74144">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4" o:spid="_x0000_s1027" type="#_x0000_t202" style="position:absolute;margin-left:206.9pt;margin-top:50.65pt;width:180.6pt;height:1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" fillcolor="white [3201]" strokeweight=".5pt">
                <v:textbox>
                  <w:txbxContent>
                    <w:p w:rsidR="00A74144" w:rsidRDefault="00A74144">
                      <w:r>
                        <w:t>Cartina rappresentativa dello stato.</w:t>
                      </w:r>
                    </w:p>
                  </w:txbxContent>
                </v:textbox>
              </v:shape>
            </w:pict>
          </mc:Fallback>
        </mc:AlternateContent>
      </w:r>
      <w:r>
        <w:rPr>
          <w:noProof/>
        </w:rPr>
        <w:drawing>
          <wp:inline distT="0" distB="0" distL="0" distR="0" wp14:anchorId="07FC5DD5" wp14:editId="77A87989">
            <wp:extent cx="2232243" cy="2396613"/>
            <wp:effectExtent l="0" t="0" r="0" b="3810"/>
            <wp:docPr id="3" name="Immagine 3" descr="Libi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ia - Mappa"/>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232230" cy="2396599"/>
                    </a:xfrm>
                    <a:prstGeom prst="rect">
                      <a:avLst/>
                    </a:prstGeom>
                    <a:noFill/>
                    <a:ln>
                      <a:noFill/>
                    </a:ln>
                  </pic:spPr>
                </pic:pic>
              </a:graphicData>
            </a:graphic>
          </wp:inline>
        </w:drawing>
      </w:r>
      <w:bookmarkStart w:id="0" w:name="_GoBack"/>
      <w:bookmarkEnd w:id="0"/>
    </w:p>
    <w:p w:rsidR="00A4129C" w:rsidRPr="00A74144" w:rsidRDefault="00A4129C" w:rsidP="00A4129C">
      <w:pPr>
        <w:pStyle w:val="NormaleWeb"/>
        <w:rPr>
          <w:rFonts w:asciiTheme="minorHAnsi" w:hAnsiTheme="minorHAnsi"/>
          <w:i/>
          <w:sz w:val="20"/>
          <w:szCs w:val="20"/>
        </w:rPr>
      </w:pPr>
    </w:p>
    <w:p w:rsidR="00A4129C" w:rsidRPr="00A4129C" w:rsidRDefault="00A4129C" w:rsidP="00A4129C">
      <w:pPr>
        <w:rPr>
          <w:i/>
        </w:rPr>
      </w:pPr>
    </w:p>
    <w:sectPr w:rsidR="00A4129C" w:rsidRPr="00A4129C">
      <w:headerReference w:type="default" r:id="rId1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9C" w:rsidRDefault="00A4129C" w:rsidP="00A4129C">
      <w:pPr>
        <w:spacing w:after="0" w:line="240" w:lineRule="auto"/>
      </w:pPr>
      <w:r>
        <w:separator/>
      </w:r>
    </w:p>
  </w:endnote>
  <w:endnote w:type="continuationSeparator" w:id="0">
    <w:p w:rsidR="00A4129C" w:rsidRDefault="00A4129C" w:rsidP="00A4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9C" w:rsidRDefault="00A4129C" w:rsidP="00A4129C">
      <w:pPr>
        <w:spacing w:after="0" w:line="240" w:lineRule="auto"/>
      </w:pPr>
      <w:r>
        <w:separator/>
      </w:r>
    </w:p>
  </w:footnote>
  <w:footnote w:type="continuationSeparator" w:id="0">
    <w:p w:rsidR="00A4129C" w:rsidRDefault="00A4129C" w:rsidP="00A41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29C" w:rsidRDefault="00A4129C">
    <w:pPr>
      <w:pStyle w:val="Intestazione"/>
    </w:pPr>
    <w:r>
      <w:t>PRESENTAZIONE: LIBIA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5C4"/>
    <w:multiLevelType w:val="hybridMultilevel"/>
    <w:tmpl w:val="7D64C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BB85A2C"/>
    <w:multiLevelType w:val="multilevel"/>
    <w:tmpl w:val="1C9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9C"/>
    <w:rsid w:val="00737D2C"/>
    <w:rsid w:val="00A4129C"/>
    <w:rsid w:val="00A74144"/>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12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129C"/>
  </w:style>
  <w:style w:type="paragraph" w:styleId="Pidipagina">
    <w:name w:val="footer"/>
    <w:basedOn w:val="Normale"/>
    <w:link w:val="PidipaginaCarattere"/>
    <w:uiPriority w:val="99"/>
    <w:unhideWhenUsed/>
    <w:rsid w:val="00A412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129C"/>
  </w:style>
  <w:style w:type="paragraph" w:styleId="Testofumetto">
    <w:name w:val="Balloon Text"/>
    <w:basedOn w:val="Normale"/>
    <w:link w:val="TestofumettoCarattere"/>
    <w:uiPriority w:val="99"/>
    <w:semiHidden/>
    <w:unhideWhenUsed/>
    <w:rsid w:val="00A412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29C"/>
    <w:rPr>
      <w:rFonts w:ascii="Tahoma" w:hAnsi="Tahoma" w:cs="Tahoma"/>
      <w:sz w:val="16"/>
      <w:szCs w:val="16"/>
    </w:rPr>
  </w:style>
  <w:style w:type="paragraph" w:styleId="NormaleWeb">
    <w:name w:val="Normal (Web)"/>
    <w:basedOn w:val="Normale"/>
    <w:uiPriority w:val="99"/>
    <w:unhideWhenUsed/>
    <w:rsid w:val="00A412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12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12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129C"/>
  </w:style>
  <w:style w:type="paragraph" w:styleId="Pidipagina">
    <w:name w:val="footer"/>
    <w:basedOn w:val="Normale"/>
    <w:link w:val="PidipaginaCarattere"/>
    <w:uiPriority w:val="99"/>
    <w:unhideWhenUsed/>
    <w:rsid w:val="00A412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129C"/>
  </w:style>
  <w:style w:type="paragraph" w:styleId="Testofumetto">
    <w:name w:val="Balloon Text"/>
    <w:basedOn w:val="Normale"/>
    <w:link w:val="TestofumettoCarattere"/>
    <w:uiPriority w:val="99"/>
    <w:semiHidden/>
    <w:unhideWhenUsed/>
    <w:rsid w:val="00A412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29C"/>
    <w:rPr>
      <w:rFonts w:ascii="Tahoma" w:hAnsi="Tahoma" w:cs="Tahoma"/>
      <w:sz w:val="16"/>
      <w:szCs w:val="16"/>
    </w:rPr>
  </w:style>
  <w:style w:type="paragraph" w:styleId="NormaleWeb">
    <w:name w:val="Normal (Web)"/>
    <w:basedOn w:val="Normale"/>
    <w:uiPriority w:val="99"/>
    <w:unhideWhenUsed/>
    <w:rsid w:val="00A412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1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02881">
      <w:bodyDiv w:val="1"/>
      <w:marLeft w:val="0"/>
      <w:marRight w:val="0"/>
      <w:marTop w:val="0"/>
      <w:marBottom w:val="0"/>
      <w:divBdr>
        <w:top w:val="none" w:sz="0" w:space="0" w:color="auto"/>
        <w:left w:val="none" w:sz="0" w:space="0" w:color="auto"/>
        <w:bottom w:val="none" w:sz="0" w:space="0" w:color="auto"/>
        <w:right w:val="none" w:sz="0" w:space="0" w:color="auto"/>
      </w:divBdr>
    </w:div>
    <w:div w:id="1017275682">
      <w:bodyDiv w:val="1"/>
      <w:marLeft w:val="0"/>
      <w:marRight w:val="0"/>
      <w:marTop w:val="0"/>
      <w:marBottom w:val="0"/>
      <w:divBdr>
        <w:top w:val="none" w:sz="0" w:space="0" w:color="auto"/>
        <w:left w:val="none" w:sz="0" w:space="0" w:color="auto"/>
        <w:bottom w:val="none" w:sz="0" w:space="0" w:color="auto"/>
        <w:right w:val="none" w:sz="0" w:space="0" w:color="auto"/>
      </w:divBdr>
    </w:div>
    <w:div w:id="1037700223">
      <w:bodyDiv w:val="1"/>
      <w:marLeft w:val="0"/>
      <w:marRight w:val="0"/>
      <w:marTop w:val="0"/>
      <w:marBottom w:val="0"/>
      <w:divBdr>
        <w:top w:val="none" w:sz="0" w:space="0" w:color="auto"/>
        <w:left w:val="none" w:sz="0" w:space="0" w:color="auto"/>
        <w:bottom w:val="none" w:sz="0" w:space="0" w:color="auto"/>
        <w:right w:val="none" w:sz="0" w:space="0" w:color="auto"/>
      </w:divBdr>
    </w:div>
    <w:div w:id="1356082383">
      <w:bodyDiv w:val="1"/>
      <w:marLeft w:val="0"/>
      <w:marRight w:val="0"/>
      <w:marTop w:val="0"/>
      <w:marBottom w:val="0"/>
      <w:divBdr>
        <w:top w:val="none" w:sz="0" w:space="0" w:color="auto"/>
        <w:left w:val="none" w:sz="0" w:space="0" w:color="auto"/>
        <w:bottom w:val="none" w:sz="0" w:space="0" w:color="auto"/>
        <w:right w:val="none" w:sz="0" w:space="0" w:color="auto"/>
      </w:divBdr>
    </w:div>
    <w:div w:id="1420710646">
      <w:bodyDiv w:val="1"/>
      <w:marLeft w:val="0"/>
      <w:marRight w:val="0"/>
      <w:marTop w:val="0"/>
      <w:marBottom w:val="0"/>
      <w:divBdr>
        <w:top w:val="none" w:sz="0" w:space="0" w:color="auto"/>
        <w:left w:val="none" w:sz="0" w:space="0" w:color="auto"/>
        <w:bottom w:val="none" w:sz="0" w:space="0" w:color="auto"/>
        <w:right w:val="none" w:sz="0" w:space="0" w:color="auto"/>
      </w:divBdr>
    </w:div>
    <w:div w:id="21093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Anni_1980" TargetMode="External"/><Relationship Id="rId21" Type="http://schemas.openxmlformats.org/officeDocument/2006/relationships/hyperlink" Target="https://it.wikipedia.org/wiki/Nomade" TargetMode="External"/><Relationship Id="rId42" Type="http://schemas.openxmlformats.org/officeDocument/2006/relationships/hyperlink" Target="https://it.wikipedia.org/wiki/Libia" TargetMode="External"/><Relationship Id="rId47" Type="http://schemas.openxmlformats.org/officeDocument/2006/relationships/hyperlink" Target="https://it.wikipedia.org/wiki/Tripoli" TargetMode="External"/><Relationship Id="rId63" Type="http://schemas.openxmlformats.org/officeDocument/2006/relationships/hyperlink" Target="https://it.wikipedia.org/wiki/Islam" TargetMode="External"/><Relationship Id="rId68" Type="http://schemas.openxmlformats.org/officeDocument/2006/relationships/hyperlink" Target="https://it.wikipedia.org/wiki/Cattolicesimo" TargetMode="External"/><Relationship Id="rId84" Type="http://schemas.openxmlformats.org/officeDocument/2006/relationships/hyperlink" Target="https://it.wikipedia.org/wiki/Stato_di_diritto" TargetMode="External"/><Relationship Id="rId89" Type="http://schemas.openxmlformats.org/officeDocument/2006/relationships/hyperlink" Target="https://it.wikipedia.org/wiki/Ciad" TargetMode="External"/><Relationship Id="rId112" Type="http://schemas.openxmlformats.org/officeDocument/2006/relationships/hyperlink" Target="https://it.wikipedia.org/wiki/1959" TargetMode="External"/><Relationship Id="rId16" Type="http://schemas.openxmlformats.org/officeDocument/2006/relationships/hyperlink" Target="https://it.wikipedia.org/wiki/Arabi" TargetMode="External"/><Relationship Id="rId107" Type="http://schemas.openxmlformats.org/officeDocument/2006/relationships/hyperlink" Target="https://it.wikipedia.org/wiki/1977" TargetMode="External"/><Relationship Id="rId11" Type="http://schemas.openxmlformats.org/officeDocument/2006/relationships/hyperlink" Target="https://it.wikipedia.org/wiki/Bengasi" TargetMode="External"/><Relationship Id="rId32" Type="http://schemas.openxmlformats.org/officeDocument/2006/relationships/hyperlink" Target="https://it.wikipedia.org/wiki/Israele" TargetMode="External"/><Relationship Id="rId37" Type="http://schemas.openxmlformats.org/officeDocument/2006/relationships/hyperlink" Target="https://it.wikipedia.org/wiki/Guerra_dei_sei_giorni" TargetMode="External"/><Relationship Id="rId53" Type="http://schemas.openxmlformats.org/officeDocument/2006/relationships/hyperlink" Target="https://it.wikipedia.org/wiki/Lingua_nefusi" TargetMode="External"/><Relationship Id="rId58" Type="http://schemas.openxmlformats.org/officeDocument/2006/relationships/hyperlink" Target="https://it.wikipedia.org/w/index.php?title=Augila&amp;action=edit&amp;redlink=1" TargetMode="External"/><Relationship Id="rId74" Type="http://schemas.openxmlformats.org/officeDocument/2006/relationships/hyperlink" Target="https://it.wikipedia.org/wiki/Mu%27ammar_Gheddafi" TargetMode="External"/><Relationship Id="rId79" Type="http://schemas.openxmlformats.org/officeDocument/2006/relationships/hyperlink" Target="https://it.wikipedia.org/wiki/Autoritarismo" TargetMode="External"/><Relationship Id="rId102" Type="http://schemas.openxmlformats.org/officeDocument/2006/relationships/hyperlink" Target="https://it.wikipedia.org/wiki/Libia" TargetMode="External"/><Relationship Id="rId123" Type="http://schemas.openxmlformats.org/officeDocument/2006/relationships/hyperlink" Target="https://it.wikipedia.org/wiki/Liberalismo" TargetMode="External"/><Relationship Id="rId128" Type="http://schemas.openxmlformats.org/officeDocument/2006/relationships/image" Target="media/image2.png"/><Relationship Id="rId5" Type="http://schemas.openxmlformats.org/officeDocument/2006/relationships/webSettings" Target="webSettings.xml"/><Relationship Id="rId90" Type="http://schemas.openxmlformats.org/officeDocument/2006/relationships/hyperlink" Target="https://it.wikipedia.org/wiki/Tripolitania" TargetMode="External"/><Relationship Id="rId95" Type="http://schemas.openxmlformats.org/officeDocument/2006/relationships/hyperlink" Target="https://it.wikipedia.org/wiki/Niger" TargetMode="External"/><Relationship Id="rId22" Type="http://schemas.openxmlformats.org/officeDocument/2006/relationships/hyperlink" Target="https://it.wikipedia.org/wiki/Egitto" TargetMode="External"/><Relationship Id="rId27" Type="http://schemas.openxmlformats.org/officeDocument/2006/relationships/hyperlink" Target="https://it.wikipedia.org/wiki/1970" TargetMode="External"/><Relationship Id="rId43" Type="http://schemas.openxmlformats.org/officeDocument/2006/relationships/hyperlink" Target="https://it.wikipedia.org/wiki/Libia" TargetMode="External"/><Relationship Id="rId48" Type="http://schemas.openxmlformats.org/officeDocument/2006/relationships/hyperlink" Target="https://it.wikipedia.org/wiki/1999" TargetMode="External"/><Relationship Id="rId64" Type="http://schemas.openxmlformats.org/officeDocument/2006/relationships/hyperlink" Target="https://it.wikipedia.org/wiki/Sunnismo" TargetMode="External"/><Relationship Id="rId69" Type="http://schemas.openxmlformats.org/officeDocument/2006/relationships/hyperlink" Target="https://it.wikipedia.org/wiki/Sunnismo" TargetMode="External"/><Relationship Id="rId113" Type="http://schemas.openxmlformats.org/officeDocument/2006/relationships/hyperlink" Target="https://it.wikipedia.org/wiki/1970" TargetMode="External"/><Relationship Id="rId118" Type="http://schemas.openxmlformats.org/officeDocument/2006/relationships/hyperlink" Target="https://it.wikipedia.org/wiki/Prodotto_interno_lordo" TargetMode="External"/><Relationship Id="rId80" Type="http://schemas.openxmlformats.org/officeDocument/2006/relationships/hyperlink" Target="https://it.wikipedia.org/wiki/Militare" TargetMode="External"/><Relationship Id="rId85" Type="http://schemas.openxmlformats.org/officeDocument/2006/relationships/hyperlink" Target="https://it.wikipedia.org/wiki/Cirenaica" TargetMode="External"/><Relationship Id="rId12" Type="http://schemas.openxmlformats.org/officeDocument/2006/relationships/hyperlink" Target="https://it.wikipedia.org/wiki/Al_Bayda" TargetMode="External"/><Relationship Id="rId17" Type="http://schemas.openxmlformats.org/officeDocument/2006/relationships/hyperlink" Target="https://it.wikipedia.org/wiki/Berberi" TargetMode="External"/><Relationship Id="rId33" Type="http://schemas.openxmlformats.org/officeDocument/2006/relationships/hyperlink" Target="https://it.wikipedia.org/wiki/Pogrom" TargetMode="External"/><Relationship Id="rId38" Type="http://schemas.openxmlformats.org/officeDocument/2006/relationships/hyperlink" Target="https://it.wikipedia.org/wiki/Pogrom" TargetMode="External"/><Relationship Id="rId59" Type="http://schemas.openxmlformats.org/officeDocument/2006/relationships/hyperlink" Target="https://it.wikipedia.org/wiki/Lingua_italiana" TargetMode="External"/><Relationship Id="rId103" Type="http://schemas.openxmlformats.org/officeDocument/2006/relationships/hyperlink" Target="https://it.wikipedia.org/wiki/Libia" TargetMode="External"/><Relationship Id="rId108" Type="http://schemas.openxmlformats.org/officeDocument/2006/relationships/hyperlink" Target="https://it.wikipedia.org/wiki/Reddito" TargetMode="External"/><Relationship Id="rId124" Type="http://schemas.openxmlformats.org/officeDocument/2006/relationships/hyperlink" Target="https://it.wikipedia.org/wiki/Mahmoud_Jibril" TargetMode="External"/><Relationship Id="rId129" Type="http://schemas.openxmlformats.org/officeDocument/2006/relationships/header" Target="header1.xml"/><Relationship Id="rId54" Type="http://schemas.openxmlformats.org/officeDocument/2006/relationships/hyperlink" Target="https://it.wikipedia.org/wiki/Zuara" TargetMode="External"/><Relationship Id="rId70" Type="http://schemas.openxmlformats.org/officeDocument/2006/relationships/hyperlink" Target="https://it.wikipedia.org/wiki/Gebel_Nefusa" TargetMode="External"/><Relationship Id="rId75" Type="http://schemas.openxmlformats.org/officeDocument/2006/relationships/hyperlink" Target="https://it.wikipedia.org/wiki/Consiglio_nazionale_di_transizione" TargetMode="External"/><Relationship Id="rId91" Type="http://schemas.openxmlformats.org/officeDocument/2006/relationships/hyperlink" Target="https://it.wikipedia.org/wiki/Tunisia" TargetMode="External"/><Relationship Id="rId96" Type="http://schemas.openxmlformats.org/officeDocument/2006/relationships/hyperlink" Target="https://it.wikipedia.org/wiki/Ciad"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it.wikipedia.org/wiki/Libia" TargetMode="External"/><Relationship Id="rId28" Type="http://schemas.openxmlformats.org/officeDocument/2006/relationships/hyperlink" Target="https://it.wikipedia.org/wiki/Libia" TargetMode="External"/><Relationship Id="rId49" Type="http://schemas.openxmlformats.org/officeDocument/2006/relationships/hyperlink" Target="https://it.wikipedia.org/wiki/Libia" TargetMode="External"/><Relationship Id="rId114" Type="http://schemas.openxmlformats.org/officeDocument/2006/relationships/hyperlink" Target="https://it.wikipedia.org/wiki/Libia" TargetMode="External"/><Relationship Id="rId119" Type="http://schemas.openxmlformats.org/officeDocument/2006/relationships/hyperlink" Target="https://it.wikipedia.org/wiki/Organizzazione_delle_Nazioni_Unite" TargetMode="External"/><Relationship Id="rId44" Type="http://schemas.openxmlformats.org/officeDocument/2006/relationships/hyperlink" Target="https://it.wikipedia.org/wiki/1970" TargetMode="External"/><Relationship Id="rId60" Type="http://schemas.openxmlformats.org/officeDocument/2006/relationships/hyperlink" Target="https://it.wikipedia.org/wiki/Lingua_inglese" TargetMode="External"/><Relationship Id="rId65" Type="http://schemas.openxmlformats.org/officeDocument/2006/relationships/hyperlink" Target="https://it.wikipedia.org/wiki/Ibaditi" TargetMode="External"/><Relationship Id="rId81" Type="http://schemas.openxmlformats.org/officeDocument/2006/relationships/hyperlink" Target="https://it.wikipedia.org/wiki/Leadership" TargetMode="External"/><Relationship Id="rId86" Type="http://schemas.openxmlformats.org/officeDocument/2006/relationships/hyperlink" Target="https://it.wikipedia.org/wiki/Egitto" TargetMode="External"/><Relationship Id="rId130" Type="http://schemas.openxmlformats.org/officeDocument/2006/relationships/fontTable" Target="fontTable.xml"/><Relationship Id="rId13" Type="http://schemas.openxmlformats.org/officeDocument/2006/relationships/hyperlink" Target="https://it.wikipedia.org/wiki/Lingua_araba" TargetMode="External"/><Relationship Id="rId18" Type="http://schemas.openxmlformats.org/officeDocument/2006/relationships/hyperlink" Target="https://it.wikipedia.org/wiki/Tuareg" TargetMode="External"/><Relationship Id="rId39" Type="http://schemas.openxmlformats.org/officeDocument/2006/relationships/hyperlink" Target="https://it.wikipedia.org/wiki/Italia" TargetMode="External"/><Relationship Id="rId109" Type="http://schemas.openxmlformats.org/officeDocument/2006/relationships/hyperlink" Target="https://it.wikipedia.org/wiki/Pro_capite" TargetMode="External"/><Relationship Id="rId34" Type="http://schemas.openxmlformats.org/officeDocument/2006/relationships/hyperlink" Target="https://it.wikipedia.org/wiki/1951" TargetMode="External"/><Relationship Id="rId50" Type="http://schemas.openxmlformats.org/officeDocument/2006/relationships/hyperlink" Target="https://it.wikipedia.org/wiki/Lingua_araba" TargetMode="External"/><Relationship Id="rId55" Type="http://schemas.openxmlformats.org/officeDocument/2006/relationships/hyperlink" Target="https://it.wikipedia.org/wiki/Ghat_(Libia)" TargetMode="External"/><Relationship Id="rId76" Type="http://schemas.openxmlformats.org/officeDocument/2006/relationships/hyperlink" Target="https://it.wikipedia.org/wiki/Libia" TargetMode="External"/><Relationship Id="rId97" Type="http://schemas.openxmlformats.org/officeDocument/2006/relationships/hyperlink" Target="https://it.wikipedia.org/wiki/1963" TargetMode="External"/><Relationship Id="rId104" Type="http://schemas.openxmlformats.org/officeDocument/2006/relationships/hyperlink" Target="https://it.wikipedia.org/wiki/Libia" TargetMode="External"/><Relationship Id="rId120" Type="http://schemas.openxmlformats.org/officeDocument/2006/relationships/hyperlink" Target="https://it.wikipedia.org/wiki/1991" TargetMode="External"/><Relationship Id="rId125" Type="http://schemas.openxmlformats.org/officeDocument/2006/relationships/hyperlink" Target="https://it.wikipedia.org/wiki/Libia" TargetMode="External"/><Relationship Id="rId7" Type="http://schemas.openxmlformats.org/officeDocument/2006/relationships/endnotes" Target="endnotes.xml"/><Relationship Id="rId71" Type="http://schemas.openxmlformats.org/officeDocument/2006/relationships/hyperlink" Target="https://it.wikipedia.org/wiki/Ibaditi" TargetMode="External"/><Relationship Id="rId92" Type="http://schemas.openxmlformats.org/officeDocument/2006/relationships/hyperlink" Target="https://it.wikipedia.org/wiki/Golfo_della_Sirte" TargetMode="External"/><Relationship Id="rId2" Type="http://schemas.openxmlformats.org/officeDocument/2006/relationships/styles" Target="styles.xml"/><Relationship Id="rId29" Type="http://schemas.openxmlformats.org/officeDocument/2006/relationships/hyperlink" Target="https://it.wikipedia.org/wiki/Ebrei" TargetMode="External"/><Relationship Id="rId24" Type="http://schemas.openxmlformats.org/officeDocument/2006/relationships/hyperlink" Target="https://it.wikipedia.org/wiki/Libia" TargetMode="External"/><Relationship Id="rId40" Type="http://schemas.openxmlformats.org/officeDocument/2006/relationships/hyperlink" Target="https://it.wikipedia.org/wiki/Israele" TargetMode="External"/><Relationship Id="rId45" Type="http://schemas.openxmlformats.org/officeDocument/2006/relationships/hyperlink" Target="https://it.wikipedia.org/wiki/Mu%27ammar_Gheddafi" TargetMode="External"/><Relationship Id="rId66" Type="http://schemas.openxmlformats.org/officeDocument/2006/relationships/hyperlink" Target="https://it.wikipedia.org/wiki/Kharigiti" TargetMode="External"/><Relationship Id="rId87" Type="http://schemas.openxmlformats.org/officeDocument/2006/relationships/hyperlink" Target="https://it.wikipedia.org/wiki/Mar_Mediterraneo" TargetMode="External"/><Relationship Id="rId110" Type="http://schemas.openxmlformats.org/officeDocument/2006/relationships/hyperlink" Target="https://it.wikipedia.org/wiki/Libia" TargetMode="External"/><Relationship Id="rId115" Type="http://schemas.openxmlformats.org/officeDocument/2006/relationships/hyperlink" Target="https://it.wikipedia.org/wiki/Regime_(politica)" TargetMode="External"/><Relationship Id="rId131" Type="http://schemas.openxmlformats.org/officeDocument/2006/relationships/theme" Target="theme/theme1.xml"/><Relationship Id="rId61" Type="http://schemas.openxmlformats.org/officeDocument/2006/relationships/hyperlink" Target="https://it.wikipedia.org/wiki/1970" TargetMode="External"/><Relationship Id="rId82" Type="http://schemas.openxmlformats.org/officeDocument/2006/relationships/hyperlink" Target="https://it.wikipedia.org/wiki/Ideologia" TargetMode="External"/><Relationship Id="rId19" Type="http://schemas.openxmlformats.org/officeDocument/2006/relationships/hyperlink" Target="https://it.wikipedia.org/wiki/Hausa_(popolo)" TargetMode="External"/><Relationship Id="rId14" Type="http://schemas.openxmlformats.org/officeDocument/2006/relationships/hyperlink" Target="https://it.wikipedia.org/wiki/Lingua_berbera" TargetMode="External"/><Relationship Id="rId30" Type="http://schemas.openxmlformats.org/officeDocument/2006/relationships/hyperlink" Target="https://it.wikipedia.org/wiki/1948" TargetMode="External"/><Relationship Id="rId35" Type="http://schemas.openxmlformats.org/officeDocument/2006/relationships/hyperlink" Target="https://it.wikipedia.org/wiki/Libia" TargetMode="External"/><Relationship Id="rId56" Type="http://schemas.openxmlformats.org/officeDocument/2006/relationships/hyperlink" Target="https://it.wikipedia.org/wiki/Gadames" TargetMode="External"/><Relationship Id="rId77" Type="http://schemas.openxmlformats.org/officeDocument/2006/relationships/hyperlink" Target="https://it.wikipedia.org/wiki/1969" TargetMode="External"/><Relationship Id="rId100" Type="http://schemas.openxmlformats.org/officeDocument/2006/relationships/hyperlink" Target="https://it.wikipedia.org/wiki/Distretti_della_Libia" TargetMode="External"/><Relationship Id="rId105" Type="http://schemas.openxmlformats.org/officeDocument/2006/relationships/hyperlink" Target="https://it.wikipedia.org/wiki/Anni_1950" TargetMode="External"/><Relationship Id="rId126" Type="http://schemas.openxmlformats.org/officeDocument/2006/relationships/hyperlink" Target="https://it.wikipedia.org/wiki/Fratelli_Musulmani" TargetMode="External"/><Relationship Id="rId8" Type="http://schemas.openxmlformats.org/officeDocument/2006/relationships/image" Target="media/image1.jpeg"/><Relationship Id="rId51" Type="http://schemas.openxmlformats.org/officeDocument/2006/relationships/hyperlink" Target="https://it.wikipedia.org/wiki/Lingua_berbera" TargetMode="External"/><Relationship Id="rId72" Type="http://schemas.openxmlformats.org/officeDocument/2006/relationships/hyperlink" Target="https://it.wikipedia.org/wiki/Prima_guerra_civile_libica" TargetMode="External"/><Relationship Id="rId93" Type="http://schemas.openxmlformats.org/officeDocument/2006/relationships/hyperlink" Target="https://it.wikipedia.org/wiki/Fezzan" TargetMode="External"/><Relationship Id="rId98" Type="http://schemas.openxmlformats.org/officeDocument/2006/relationships/hyperlink" Target="https://it.wikipedia.org/wiki/Governatorati_della_Libia" TargetMode="External"/><Relationship Id="rId121" Type="http://schemas.openxmlformats.org/officeDocument/2006/relationships/hyperlink" Target="https://it.wikipedia.org/wiki/Dinaro_libico" TargetMode="External"/><Relationship Id="rId3" Type="http://schemas.microsoft.com/office/2007/relationships/stylesWithEffects" Target="stylesWithEffects.xml"/><Relationship Id="rId25" Type="http://schemas.openxmlformats.org/officeDocument/2006/relationships/hyperlink" Target="https://it.wikipedia.org/wiki/Italiani" TargetMode="External"/><Relationship Id="rId46" Type="http://schemas.openxmlformats.org/officeDocument/2006/relationships/hyperlink" Target="https://it.wikipedia.org/wiki/Libia" TargetMode="External"/><Relationship Id="rId67" Type="http://schemas.openxmlformats.org/officeDocument/2006/relationships/hyperlink" Target="https://it.wikipedia.org/wiki/Cristiani" TargetMode="External"/><Relationship Id="rId116" Type="http://schemas.openxmlformats.org/officeDocument/2006/relationships/hyperlink" Target="https://it.wikipedia.org/wiki/Industria_leggera" TargetMode="External"/><Relationship Id="rId20" Type="http://schemas.openxmlformats.org/officeDocument/2006/relationships/hyperlink" Target="https://it.wikipedia.org/wiki/Tebu" TargetMode="External"/><Relationship Id="rId41" Type="http://schemas.openxmlformats.org/officeDocument/2006/relationships/hyperlink" Target="https://it.wikipedia.org/wiki/Stati_Uniti_d%27America" TargetMode="External"/><Relationship Id="rId62" Type="http://schemas.openxmlformats.org/officeDocument/2006/relationships/hyperlink" Target="https://it.wikipedia.org/wiki/Islam" TargetMode="External"/><Relationship Id="rId83" Type="http://schemas.openxmlformats.org/officeDocument/2006/relationships/hyperlink" Target="https://it.wikipedia.org/wiki/Pluralismo" TargetMode="External"/><Relationship Id="rId88" Type="http://schemas.openxmlformats.org/officeDocument/2006/relationships/hyperlink" Target="https://it.wikipedia.org/wiki/Sudan" TargetMode="External"/><Relationship Id="rId111" Type="http://schemas.openxmlformats.org/officeDocument/2006/relationships/hyperlink" Target="https://it.wikipedia.org/wiki/Petrolio" TargetMode="External"/><Relationship Id="rId15" Type="http://schemas.openxmlformats.org/officeDocument/2006/relationships/hyperlink" Target="https://it.wikipedia.org/wiki/Dinaro_libico" TargetMode="External"/><Relationship Id="rId36" Type="http://schemas.openxmlformats.org/officeDocument/2006/relationships/hyperlink" Target="https://it.wikipedia.org/wiki/Libia" TargetMode="External"/><Relationship Id="rId57" Type="http://schemas.openxmlformats.org/officeDocument/2006/relationships/hyperlink" Target="https://it.wikipedia.org/w/index.php?title=Sokna&amp;action=edit&amp;redlink=1" TargetMode="External"/><Relationship Id="rId106" Type="http://schemas.openxmlformats.org/officeDocument/2006/relationships/hyperlink" Target="https://it.wikipedia.org/wiki/XX_secolo" TargetMode="External"/><Relationship Id="rId127" Type="http://schemas.openxmlformats.org/officeDocument/2006/relationships/hyperlink" Target="https://it.wikipedia.org/wiki/Egitto" TargetMode="External"/><Relationship Id="rId10" Type="http://schemas.openxmlformats.org/officeDocument/2006/relationships/hyperlink" Target="https://it.wikipedia.org/wiki/Gefara" TargetMode="External"/><Relationship Id="rId31" Type="http://schemas.openxmlformats.org/officeDocument/2006/relationships/hyperlink" Target="https://it.wikipedia.org/wiki/Libia" TargetMode="External"/><Relationship Id="rId52" Type="http://schemas.openxmlformats.org/officeDocument/2006/relationships/hyperlink" Target="https://it.wikipedia.org/wiki/Gebel_Nefusa" TargetMode="External"/><Relationship Id="rId73" Type="http://schemas.openxmlformats.org/officeDocument/2006/relationships/hyperlink" Target="https://it.wikipedia.org/wiki/Comitato_Generale_Popolare_di_Libia" TargetMode="External"/><Relationship Id="rId78" Type="http://schemas.openxmlformats.org/officeDocument/2006/relationships/hyperlink" Target="https://it.wikipedia.org/wiki/Scienza_politica" TargetMode="External"/><Relationship Id="rId94" Type="http://schemas.openxmlformats.org/officeDocument/2006/relationships/hyperlink" Target="https://it.wikipedia.org/wiki/Algeria" TargetMode="External"/><Relationship Id="rId99" Type="http://schemas.openxmlformats.org/officeDocument/2006/relationships/hyperlink" Target="https://it.wikipedia.org/wiki/1983" TargetMode="External"/><Relationship Id="rId101" Type="http://schemas.openxmlformats.org/officeDocument/2006/relationships/hyperlink" Target="https://it.wikipedia.org/wiki/1995" TargetMode="External"/><Relationship Id="rId122" Type="http://schemas.openxmlformats.org/officeDocument/2006/relationships/hyperlink" Target="https://it.wikipedia.org/wiki/Wikipedia:Uso_delle_fonti" TargetMode="External"/><Relationship Id="rId4" Type="http://schemas.openxmlformats.org/officeDocument/2006/relationships/settings" Target="settings.xml"/><Relationship Id="rId9" Type="http://schemas.openxmlformats.org/officeDocument/2006/relationships/hyperlink" Target="https://it.wikipedia.org/wiki/Indice_di_Sviluppo_Umano" TargetMode="External"/><Relationship Id="rId26" Type="http://schemas.openxmlformats.org/officeDocument/2006/relationships/hyperlink" Target="https://it.wikipedia.org/wiki/Italo-lib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2377</Words>
  <Characters>13551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2019-12-12T09:07:00Z</dcterms:created>
  <dcterms:modified xsi:type="dcterms:W3CDTF">2019-12-12T09:24:00Z</dcterms:modified>
</cp:coreProperties>
</file>