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83" w:rsidRDefault="00AD13A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3191892</wp:posOffset>
                </wp:positionH>
                <wp:positionV relativeFrom="paragraph">
                  <wp:posOffset>-604162</wp:posOffset>
                </wp:positionV>
                <wp:extent cx="3217588" cy="2425872"/>
                <wp:effectExtent l="0" t="0" r="20955" b="127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88" cy="2425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3A3" w:rsidRDefault="00AD13A3">
                            <w:r>
                              <w:t>Stato: Repubblica centrafricana</w:t>
                            </w:r>
                          </w:p>
                          <w:p w:rsidR="00AD13A3" w:rsidRDefault="00AD13A3">
                            <w:r>
                              <w:t>sistema politico: repubblica semipresidenziale</w:t>
                            </w:r>
                          </w:p>
                          <w:p w:rsidR="00AD13A3" w:rsidRDefault="00AD13A3">
                            <w:r>
                              <w:t xml:space="preserve">lingue ufficiali: francese, </w:t>
                            </w:r>
                            <w:proofErr w:type="spellStart"/>
                            <w:r>
                              <w:t>sango</w:t>
                            </w:r>
                            <w:proofErr w:type="spellEnd"/>
                          </w:p>
                          <w:p w:rsidR="00AD13A3" w:rsidRDefault="00AD13A3">
                            <w:r>
                              <w:t>capitale: Bangui</w:t>
                            </w:r>
                          </w:p>
                          <w:p w:rsidR="00AD13A3" w:rsidRDefault="00AD13A3">
                            <w:r>
                              <w:t>popolazione: 5.166.510 abitanti (2014)</w:t>
                            </w:r>
                          </w:p>
                          <w:p w:rsidR="00AD13A3" w:rsidRDefault="00AD13A3">
                            <w:r>
                              <w:t>superficie: 622.984 km2</w:t>
                            </w:r>
                          </w:p>
                          <w:p w:rsidR="00AD13A3" w:rsidRDefault="00AD13A3">
                            <w:r>
                              <w:t>moneta: franco CFA</w:t>
                            </w:r>
                          </w:p>
                          <w:p w:rsidR="00AD13A3" w:rsidRDefault="00AD13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51.35pt;margin-top:-47.55pt;width:253.35pt;height:19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" fillcolor="white [3201]" strokeweight=".5pt">
                <v:textbox>
                  <w:txbxContent>
                    <w:p w:rsidR="00AD13A3" w:rsidRDefault="00AD13A3">
                      <w:r>
                        <w:t>Stato: Repubblica centrafricana</w:t>
                      </w:r>
                    </w:p>
                    <w:p w:rsidR="00AD13A3" w:rsidRDefault="00AD13A3">
                      <w:r>
                        <w:t>sistema politico: repubblica semipresidenziale</w:t>
                      </w:r>
                    </w:p>
                    <w:p w:rsidR="00AD13A3" w:rsidRDefault="00AD13A3">
                      <w:r>
                        <w:t xml:space="preserve">lingue ufficiali: francese, </w:t>
                      </w:r>
                      <w:proofErr w:type="spellStart"/>
                      <w:r>
                        <w:t>sango</w:t>
                      </w:r>
                      <w:proofErr w:type="spellEnd"/>
                    </w:p>
                    <w:p w:rsidR="00AD13A3" w:rsidRDefault="00AD13A3">
                      <w:r>
                        <w:t>capitale: Bangui</w:t>
                      </w:r>
                    </w:p>
                    <w:p w:rsidR="00AD13A3" w:rsidRDefault="00AD13A3">
                      <w:r>
                        <w:t>popolazione: 5.166.510 abitanti (2014)</w:t>
                      </w:r>
                    </w:p>
                    <w:p w:rsidR="00AD13A3" w:rsidRDefault="00AD13A3">
                      <w:r>
                        <w:t>superficie: 622.984 km2</w:t>
                      </w:r>
                    </w:p>
                    <w:p w:rsidR="00AD13A3" w:rsidRDefault="00AD13A3">
                      <w:r>
                        <w:t>moneta: franco CFA</w:t>
                      </w:r>
                    </w:p>
                    <w:p w:rsidR="00AD13A3" w:rsidRDefault="00AD13A3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536812" cy="1691296"/>
            <wp:effectExtent l="0" t="0" r="0" b="4445"/>
            <wp:docPr id="1" name="Immagine 1" descr="https://www.acasamai.it/wp-content/uploads/2018/07/Repubblica-Ventraficana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Repubblica-Ventraficana-Bandie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873" cy="169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A3" w:rsidRDefault="00AD13A3">
      <w:pPr>
        <w:rPr>
          <w:i/>
        </w:rPr>
      </w:pPr>
      <w:r w:rsidRPr="00AD13A3">
        <w:rPr>
          <w:i/>
        </w:rPr>
        <w:t xml:space="preserve">Popolazione: </w:t>
      </w:r>
    </w:p>
    <w:p w:rsidR="00AD13A3" w:rsidRDefault="00AD13A3">
      <w:pPr>
        <w:rPr>
          <w:sz w:val="20"/>
          <w:szCs w:val="20"/>
        </w:rPr>
      </w:pPr>
      <w:r w:rsidRPr="00AD13A3">
        <w:rPr>
          <w:sz w:val="20"/>
          <w:szCs w:val="20"/>
        </w:rPr>
        <w:t xml:space="preserve">La popolazione della Repubblica Centrafricana è quasi quadruplicata dopo l'indipendenza. Nel 1960 la popolazione era di 1.232.000 abitanti; secondo una stima delle Nazioni Unite nel 2013 era salita a 5.166.510. Le Nazioni Unite stimano inoltre che circa l'11% della popolazione di età compresa fra i 15 e i 49 anni è </w:t>
      </w:r>
      <w:hyperlink r:id="rId9" w:tooltip="Sieropositivo" w:history="1">
        <w:r w:rsidRPr="00AD13A3">
          <w:rPr>
            <w:rStyle w:val="Collegamentoipertestuale"/>
            <w:sz w:val="20"/>
            <w:szCs w:val="20"/>
          </w:rPr>
          <w:t>sieropositivo</w:t>
        </w:r>
      </w:hyperlink>
      <w:r w:rsidRPr="00AD13A3">
        <w:rPr>
          <w:sz w:val="20"/>
          <w:szCs w:val="20"/>
        </w:rPr>
        <w:t xml:space="preserve">. Solo il 3% del Paese ha la terapia antiretrovirale disponibile, a fronte di una copertura del 17% nei paesi confinanti del Ciad e della Repubblica del Congo. La nazione è divisa in più di 80 gruppi etnici, ciascuno con il proprio linguaggio. I maggiori gruppi etnici sono i </w:t>
      </w:r>
      <w:proofErr w:type="spellStart"/>
      <w:r w:rsidRPr="00AD13A3">
        <w:rPr>
          <w:sz w:val="20"/>
          <w:szCs w:val="20"/>
        </w:rPr>
        <w:t>baya</w:t>
      </w:r>
      <w:proofErr w:type="spellEnd"/>
      <w:r w:rsidRPr="00AD13A3">
        <w:rPr>
          <w:sz w:val="20"/>
          <w:szCs w:val="20"/>
        </w:rPr>
        <w:t xml:space="preserve">, i banda, i </w:t>
      </w:r>
      <w:proofErr w:type="spellStart"/>
      <w:r w:rsidRPr="00AD13A3">
        <w:rPr>
          <w:sz w:val="20"/>
          <w:szCs w:val="20"/>
        </w:rPr>
        <w:t>mandjia</w:t>
      </w:r>
      <w:proofErr w:type="spellEnd"/>
      <w:r w:rsidRPr="00AD13A3">
        <w:rPr>
          <w:sz w:val="20"/>
          <w:szCs w:val="20"/>
        </w:rPr>
        <w:t xml:space="preserve">, i </w:t>
      </w:r>
      <w:proofErr w:type="spellStart"/>
      <w:r w:rsidRPr="00AD13A3">
        <w:rPr>
          <w:sz w:val="20"/>
          <w:szCs w:val="20"/>
        </w:rPr>
        <w:t>sara</w:t>
      </w:r>
      <w:proofErr w:type="spellEnd"/>
      <w:r w:rsidRPr="00AD13A3">
        <w:rPr>
          <w:sz w:val="20"/>
          <w:szCs w:val="20"/>
        </w:rPr>
        <w:t xml:space="preserve">, gli </w:t>
      </w:r>
      <w:proofErr w:type="spellStart"/>
      <w:r w:rsidRPr="00AD13A3">
        <w:rPr>
          <w:sz w:val="20"/>
          <w:szCs w:val="20"/>
        </w:rPr>
        <w:t>mboum</w:t>
      </w:r>
      <w:proofErr w:type="spellEnd"/>
      <w:r w:rsidRPr="00AD13A3">
        <w:rPr>
          <w:sz w:val="20"/>
          <w:szCs w:val="20"/>
        </w:rPr>
        <w:t xml:space="preserve">, gli m'baka, gli </w:t>
      </w:r>
      <w:proofErr w:type="spellStart"/>
      <w:r w:rsidRPr="00AD13A3">
        <w:rPr>
          <w:sz w:val="20"/>
          <w:szCs w:val="20"/>
        </w:rPr>
        <w:t>yakoma</w:t>
      </w:r>
      <w:proofErr w:type="spellEnd"/>
      <w:r w:rsidRPr="00AD13A3">
        <w:rPr>
          <w:sz w:val="20"/>
          <w:szCs w:val="20"/>
        </w:rPr>
        <w:t xml:space="preserve">, e i </w:t>
      </w:r>
      <w:hyperlink r:id="rId10" w:tooltip="Fulani" w:history="1">
        <w:proofErr w:type="spellStart"/>
        <w:r w:rsidRPr="00AD13A3">
          <w:rPr>
            <w:rStyle w:val="Collegamentoipertestuale"/>
            <w:sz w:val="20"/>
            <w:szCs w:val="20"/>
          </w:rPr>
          <w:t>fula</w:t>
        </w:r>
        <w:proofErr w:type="spellEnd"/>
        <w:r w:rsidRPr="00AD13A3">
          <w:rPr>
            <w:rStyle w:val="Collegamentoipertestuale"/>
            <w:sz w:val="20"/>
            <w:szCs w:val="20"/>
          </w:rPr>
          <w:t xml:space="preserve"> o </w:t>
        </w:r>
        <w:proofErr w:type="spellStart"/>
        <w:r w:rsidRPr="00AD13A3">
          <w:rPr>
            <w:rStyle w:val="Collegamentoipertestuale"/>
            <w:sz w:val="20"/>
            <w:szCs w:val="20"/>
          </w:rPr>
          <w:t>fulani</w:t>
        </w:r>
        <w:proofErr w:type="spellEnd"/>
      </w:hyperlink>
      <w:r w:rsidRPr="00AD13A3">
        <w:rPr>
          <w:sz w:val="20"/>
          <w:szCs w:val="20"/>
        </w:rPr>
        <w:t>, con la presenza di alcuni europei di origine per lo più francese.</w:t>
      </w:r>
    </w:p>
    <w:p w:rsidR="00AD13A3" w:rsidRDefault="00AD13A3">
      <w:pPr>
        <w:rPr>
          <w:i/>
          <w:sz w:val="20"/>
          <w:szCs w:val="20"/>
        </w:rPr>
      </w:pPr>
      <w:r w:rsidRPr="00AD13A3">
        <w:rPr>
          <w:i/>
          <w:sz w:val="20"/>
          <w:szCs w:val="20"/>
        </w:rPr>
        <w:t xml:space="preserve">Lingue: </w:t>
      </w:r>
    </w:p>
    <w:p w:rsidR="00AD13A3" w:rsidRDefault="00AD13A3">
      <w:pPr>
        <w:rPr>
          <w:sz w:val="20"/>
          <w:szCs w:val="20"/>
        </w:rPr>
      </w:pPr>
      <w:r w:rsidRPr="00AD13A3">
        <w:rPr>
          <w:sz w:val="20"/>
          <w:szCs w:val="20"/>
        </w:rPr>
        <w:t xml:space="preserve">Anche se il francese è la lingua ufficiale, tutti parlano il </w:t>
      </w:r>
      <w:hyperlink r:id="rId11" w:tooltip="Lingua sango" w:history="1">
        <w:proofErr w:type="spellStart"/>
        <w:r w:rsidRPr="00AD13A3">
          <w:rPr>
            <w:rStyle w:val="Collegamentoipertestuale"/>
            <w:sz w:val="20"/>
            <w:szCs w:val="20"/>
          </w:rPr>
          <w:t>sango</w:t>
        </w:r>
        <w:proofErr w:type="spellEnd"/>
      </w:hyperlink>
      <w:r w:rsidRPr="00AD13A3">
        <w:rPr>
          <w:sz w:val="20"/>
          <w:szCs w:val="20"/>
        </w:rPr>
        <w:t>, che era usato già nei tempi antichi nelle trattative commerciali tra le diverse tribù.</w:t>
      </w:r>
    </w:p>
    <w:p w:rsidR="00AD13A3" w:rsidRDefault="00AD13A3">
      <w:pPr>
        <w:rPr>
          <w:i/>
          <w:sz w:val="20"/>
          <w:szCs w:val="20"/>
        </w:rPr>
      </w:pPr>
      <w:r w:rsidRPr="00AD13A3">
        <w:rPr>
          <w:i/>
          <w:sz w:val="20"/>
          <w:szCs w:val="20"/>
        </w:rPr>
        <w:t xml:space="preserve">Religione: </w:t>
      </w:r>
    </w:p>
    <w:p w:rsidR="00AD13A3" w:rsidRDefault="00AD13A3">
      <w:pPr>
        <w:rPr>
          <w:sz w:val="20"/>
          <w:szCs w:val="20"/>
        </w:rPr>
      </w:pPr>
      <w:r w:rsidRPr="00AD13A3">
        <w:rPr>
          <w:sz w:val="20"/>
          <w:szCs w:val="20"/>
        </w:rPr>
        <w:t xml:space="preserve">Il 50% della popolazione è di </w:t>
      </w:r>
      <w:hyperlink r:id="rId12" w:tooltip="Religione cristiana" w:history="1">
        <w:r w:rsidRPr="00AD13A3">
          <w:rPr>
            <w:rStyle w:val="Collegamentoipertestuale"/>
            <w:sz w:val="20"/>
            <w:szCs w:val="20"/>
          </w:rPr>
          <w:t>religione cristiana</w:t>
        </w:r>
      </w:hyperlink>
      <w:r w:rsidRPr="00AD13A3">
        <w:rPr>
          <w:sz w:val="20"/>
          <w:szCs w:val="20"/>
        </w:rPr>
        <w:t xml:space="preserve">, con prevalenza di </w:t>
      </w:r>
      <w:hyperlink r:id="rId13" w:tooltip="Cattolico" w:history="1">
        <w:r w:rsidRPr="00AD13A3">
          <w:rPr>
            <w:rStyle w:val="Collegamentoipertestuale"/>
            <w:sz w:val="20"/>
            <w:szCs w:val="20"/>
          </w:rPr>
          <w:t>Cattolici</w:t>
        </w:r>
      </w:hyperlink>
      <w:r w:rsidRPr="00AD13A3">
        <w:rPr>
          <w:sz w:val="20"/>
          <w:szCs w:val="20"/>
        </w:rPr>
        <w:t xml:space="preserve"> a cui seguono le </w:t>
      </w:r>
      <w:hyperlink r:id="rId14" w:tooltip="Protestantesimo" w:history="1">
        <w:r w:rsidRPr="00AD13A3">
          <w:rPr>
            <w:rStyle w:val="Collegamentoipertestuale"/>
            <w:sz w:val="20"/>
            <w:szCs w:val="20"/>
          </w:rPr>
          <w:t>confessioni protestanti</w:t>
        </w:r>
      </w:hyperlink>
      <w:r w:rsidRPr="00AD13A3">
        <w:rPr>
          <w:sz w:val="20"/>
          <w:szCs w:val="20"/>
        </w:rPr>
        <w:t>, mentre il 35% della popolazione continua a mantenere credenze indigene. L'</w:t>
      </w:r>
      <w:hyperlink r:id="rId15" w:tooltip="Islam" w:history="1">
        <w:r w:rsidRPr="00AD13A3">
          <w:rPr>
            <w:rStyle w:val="Collegamentoipertestuale"/>
            <w:sz w:val="20"/>
            <w:szCs w:val="20"/>
          </w:rPr>
          <w:t>Islam</w:t>
        </w:r>
      </w:hyperlink>
      <w:r w:rsidRPr="00AD13A3">
        <w:rPr>
          <w:sz w:val="20"/>
          <w:szCs w:val="20"/>
        </w:rPr>
        <w:t xml:space="preserve"> è praticato dal 15% della popolazione del paese. Ci sono molti gruppi missionari che operano nel Paese, tra luterani, battisti, cattolici. I missionari provengono prevalentemente da Stati Uniti, Francia, Italia e Spagna, ma anche da Nigeria, Repubblica Democratica del Congo e altri paesi africani. Alcuni missionari hanno lasciato il paese quando sono scoppiati i combattimenti tra ribelli e forze governative nel 2002/2003, ma molti di loro sono in seguito ritornati per continuare il loro lavoro.</w:t>
      </w:r>
    </w:p>
    <w:p w:rsidR="00AD13A3" w:rsidRPr="00AD13A3" w:rsidRDefault="00AD13A3">
      <w:pPr>
        <w:rPr>
          <w:i/>
          <w:sz w:val="20"/>
          <w:szCs w:val="20"/>
        </w:rPr>
      </w:pPr>
      <w:r w:rsidRPr="00AD13A3">
        <w:rPr>
          <w:i/>
          <w:sz w:val="20"/>
          <w:szCs w:val="20"/>
        </w:rPr>
        <w:t>Ordinamento statale, economia e politica:</w:t>
      </w:r>
    </w:p>
    <w:p w:rsidR="00AD13A3" w:rsidRPr="00AD13A3" w:rsidRDefault="00AD13A3" w:rsidP="00AD13A3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AD13A3">
        <w:rPr>
          <w:rFonts w:eastAsia="Times New Roman" w:cs="Times New Roman"/>
          <w:sz w:val="20"/>
          <w:szCs w:val="20"/>
          <w:lang w:eastAsia="it-IT"/>
        </w:rPr>
        <w:t xml:space="preserve">La Repubblica Centroafricana è divisa in quattordici prefetture amministrative: </w:t>
      </w:r>
    </w:p>
    <w:p w:rsidR="00AD13A3" w:rsidRPr="00AD13A3" w:rsidRDefault="00AD13A3" w:rsidP="00AD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16" w:tooltip="Bamingui-Bangoran" w:history="1"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Bamingui-Bangoran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(capitale: </w:t>
      </w:r>
      <w:hyperlink r:id="rId17" w:tooltip="Ndélé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Ndélé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18" w:tooltip="Basse-Kotto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Basse-</w:t>
        </w:r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Kotto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</w:t>
      </w:r>
      <w:proofErr w:type="spellStart"/>
      <w:r w:rsidRPr="00AD13A3">
        <w:rPr>
          <w:rFonts w:eastAsia="Times New Roman" w:cs="Times New Roman"/>
          <w:sz w:val="20"/>
          <w:szCs w:val="20"/>
          <w:lang w:eastAsia="it-IT"/>
        </w:rPr>
        <w:fldChar w:fldCharType="begin"/>
      </w:r>
      <w:r w:rsidRPr="00AD13A3">
        <w:rPr>
          <w:rFonts w:eastAsia="Times New Roman" w:cs="Times New Roman"/>
          <w:sz w:val="20"/>
          <w:szCs w:val="20"/>
          <w:lang w:eastAsia="it-IT"/>
        </w:rPr>
        <w:instrText xml:space="preserve"> HYPERLINK "https://it.wikipedia.org/wiki/Mobaye" \o "Mobaye" </w:instrText>
      </w:r>
      <w:r w:rsidRPr="00AD13A3">
        <w:rPr>
          <w:rFonts w:eastAsia="Times New Roman" w:cs="Times New Roman"/>
          <w:sz w:val="20"/>
          <w:szCs w:val="20"/>
          <w:lang w:eastAsia="it-IT"/>
        </w:rPr>
        <w:fldChar w:fldCharType="separate"/>
      </w:r>
      <w:r w:rsidRPr="00AD13A3">
        <w:rPr>
          <w:rFonts w:eastAsia="Times New Roman" w:cs="Times New Roman"/>
          <w:color w:val="0000FF"/>
          <w:sz w:val="20"/>
          <w:szCs w:val="20"/>
          <w:u w:val="single"/>
          <w:lang w:eastAsia="it-IT"/>
        </w:rPr>
        <w:t>Mobaye</w:t>
      </w:r>
      <w:proofErr w:type="spellEnd"/>
      <w:r w:rsidRPr="00AD13A3">
        <w:rPr>
          <w:rFonts w:eastAsia="Times New Roman" w:cs="Times New Roman"/>
          <w:sz w:val="20"/>
          <w:szCs w:val="20"/>
          <w:lang w:eastAsia="it-IT"/>
        </w:rPr>
        <w:fldChar w:fldCharType="end"/>
      </w:r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19" w:tooltip="Haute-Kotto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Haute-</w:t>
        </w:r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Kotto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</w:t>
      </w:r>
      <w:hyperlink r:id="rId20" w:tooltip="Bria (Repubblica Centrafricana)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Bria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1" w:tooltip="Haut-Mbomou" w:history="1"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Haut-Mbomou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</w:t>
      </w:r>
      <w:proofErr w:type="spellStart"/>
      <w:r w:rsidRPr="00AD13A3">
        <w:rPr>
          <w:rFonts w:eastAsia="Times New Roman" w:cs="Times New Roman"/>
          <w:sz w:val="20"/>
          <w:szCs w:val="20"/>
          <w:lang w:eastAsia="it-IT"/>
        </w:rPr>
        <w:fldChar w:fldCharType="begin"/>
      </w:r>
      <w:r w:rsidRPr="00AD13A3">
        <w:rPr>
          <w:rFonts w:eastAsia="Times New Roman" w:cs="Times New Roman"/>
          <w:sz w:val="20"/>
          <w:szCs w:val="20"/>
          <w:lang w:eastAsia="it-IT"/>
        </w:rPr>
        <w:instrText xml:space="preserve"> HYPERLINK "https://it.wikipedia.org/wiki/Obo_(Repubblica_Centrafricana)" \o "Obo (Repubblica Centrafricana)" </w:instrText>
      </w:r>
      <w:r w:rsidRPr="00AD13A3">
        <w:rPr>
          <w:rFonts w:eastAsia="Times New Roman" w:cs="Times New Roman"/>
          <w:sz w:val="20"/>
          <w:szCs w:val="20"/>
          <w:lang w:eastAsia="it-IT"/>
        </w:rPr>
        <w:fldChar w:fldCharType="separate"/>
      </w:r>
      <w:r w:rsidRPr="00AD13A3">
        <w:rPr>
          <w:rFonts w:eastAsia="Times New Roman" w:cs="Times New Roman"/>
          <w:color w:val="0000FF"/>
          <w:sz w:val="20"/>
          <w:szCs w:val="20"/>
          <w:u w:val="single"/>
          <w:lang w:eastAsia="it-IT"/>
        </w:rPr>
        <w:t>Obo</w:t>
      </w:r>
      <w:proofErr w:type="spellEnd"/>
      <w:r w:rsidRPr="00AD13A3">
        <w:rPr>
          <w:rFonts w:eastAsia="Times New Roman" w:cs="Times New Roman"/>
          <w:sz w:val="20"/>
          <w:szCs w:val="20"/>
          <w:lang w:eastAsia="it-IT"/>
        </w:rPr>
        <w:fldChar w:fldCharType="end"/>
      </w:r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2" w:tooltip="Kémo" w:history="1"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Kémo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</w:t>
      </w:r>
      <w:hyperlink r:id="rId23" w:tooltip="Sibut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Sibut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4" w:tooltip="Lobaye" w:history="1"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Lobaye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</w:t>
      </w:r>
      <w:proofErr w:type="spellStart"/>
      <w:r w:rsidRPr="00AD13A3">
        <w:rPr>
          <w:rFonts w:eastAsia="Times New Roman" w:cs="Times New Roman"/>
          <w:sz w:val="20"/>
          <w:szCs w:val="20"/>
          <w:lang w:eastAsia="it-IT"/>
        </w:rPr>
        <w:fldChar w:fldCharType="begin"/>
      </w:r>
      <w:r w:rsidRPr="00AD13A3">
        <w:rPr>
          <w:rFonts w:eastAsia="Times New Roman" w:cs="Times New Roman"/>
          <w:sz w:val="20"/>
          <w:szCs w:val="20"/>
          <w:lang w:eastAsia="it-IT"/>
        </w:rPr>
        <w:instrText xml:space="preserve"> HYPERLINK "https://it.wikipedia.org/wiki/Mba%C3%AFki" \o "Mbaïki" </w:instrText>
      </w:r>
      <w:r w:rsidRPr="00AD13A3">
        <w:rPr>
          <w:rFonts w:eastAsia="Times New Roman" w:cs="Times New Roman"/>
          <w:sz w:val="20"/>
          <w:szCs w:val="20"/>
          <w:lang w:eastAsia="it-IT"/>
        </w:rPr>
        <w:fldChar w:fldCharType="separate"/>
      </w:r>
      <w:r w:rsidRPr="00AD13A3">
        <w:rPr>
          <w:rFonts w:eastAsia="Times New Roman" w:cs="Times New Roman"/>
          <w:color w:val="0000FF"/>
          <w:sz w:val="20"/>
          <w:szCs w:val="20"/>
          <w:u w:val="single"/>
          <w:lang w:eastAsia="it-IT"/>
        </w:rPr>
        <w:t>Mbaïki</w:t>
      </w:r>
      <w:proofErr w:type="spellEnd"/>
      <w:r w:rsidRPr="00AD13A3">
        <w:rPr>
          <w:rFonts w:eastAsia="Times New Roman" w:cs="Times New Roman"/>
          <w:sz w:val="20"/>
          <w:szCs w:val="20"/>
          <w:lang w:eastAsia="it-IT"/>
        </w:rPr>
        <w:fldChar w:fldCharType="end"/>
      </w:r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5" w:tooltip="Mambéré-Kadéï" w:history="1"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Mambéré-Kadéï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</w:t>
      </w:r>
      <w:proofErr w:type="spellStart"/>
      <w:r w:rsidRPr="00AD13A3">
        <w:rPr>
          <w:rFonts w:eastAsia="Times New Roman" w:cs="Times New Roman"/>
          <w:sz w:val="20"/>
          <w:szCs w:val="20"/>
          <w:lang w:eastAsia="it-IT"/>
        </w:rPr>
        <w:fldChar w:fldCharType="begin"/>
      </w:r>
      <w:r w:rsidRPr="00AD13A3">
        <w:rPr>
          <w:rFonts w:eastAsia="Times New Roman" w:cs="Times New Roman"/>
          <w:sz w:val="20"/>
          <w:szCs w:val="20"/>
          <w:lang w:eastAsia="it-IT"/>
        </w:rPr>
        <w:instrText xml:space="preserve"> HYPERLINK "https://it.wikipedia.org/wiki/Berb%C3%A9rati" \o "Berbérati" </w:instrText>
      </w:r>
      <w:r w:rsidRPr="00AD13A3">
        <w:rPr>
          <w:rFonts w:eastAsia="Times New Roman" w:cs="Times New Roman"/>
          <w:sz w:val="20"/>
          <w:szCs w:val="20"/>
          <w:lang w:eastAsia="it-IT"/>
        </w:rPr>
        <w:fldChar w:fldCharType="separate"/>
      </w:r>
      <w:r w:rsidRPr="00AD13A3">
        <w:rPr>
          <w:rFonts w:eastAsia="Times New Roman" w:cs="Times New Roman"/>
          <w:color w:val="0000FF"/>
          <w:sz w:val="20"/>
          <w:szCs w:val="20"/>
          <w:u w:val="single"/>
          <w:lang w:eastAsia="it-IT"/>
        </w:rPr>
        <w:t>Berbérati</w:t>
      </w:r>
      <w:proofErr w:type="spellEnd"/>
      <w:r w:rsidRPr="00AD13A3">
        <w:rPr>
          <w:rFonts w:eastAsia="Times New Roman" w:cs="Times New Roman"/>
          <w:sz w:val="20"/>
          <w:szCs w:val="20"/>
          <w:lang w:eastAsia="it-IT"/>
        </w:rPr>
        <w:fldChar w:fldCharType="end"/>
      </w:r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6" w:tooltip="Mbomou" w:history="1"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Mbomou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</w:t>
      </w:r>
      <w:hyperlink r:id="rId27" w:tooltip="Bangassou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Bangassou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8" w:tooltip="Nana-Mambéré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Nana-</w:t>
        </w:r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Mambéré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</w:t>
      </w:r>
      <w:proofErr w:type="spellStart"/>
      <w:r w:rsidRPr="00AD13A3">
        <w:rPr>
          <w:rFonts w:eastAsia="Times New Roman" w:cs="Times New Roman"/>
          <w:sz w:val="20"/>
          <w:szCs w:val="20"/>
          <w:lang w:eastAsia="it-IT"/>
        </w:rPr>
        <w:fldChar w:fldCharType="begin"/>
      </w:r>
      <w:r w:rsidRPr="00AD13A3">
        <w:rPr>
          <w:rFonts w:eastAsia="Times New Roman" w:cs="Times New Roman"/>
          <w:sz w:val="20"/>
          <w:szCs w:val="20"/>
          <w:lang w:eastAsia="it-IT"/>
        </w:rPr>
        <w:instrText xml:space="preserve"> HYPERLINK "https://it.wikipedia.org/wiki/Bouar" \o "Bouar" </w:instrText>
      </w:r>
      <w:r w:rsidRPr="00AD13A3">
        <w:rPr>
          <w:rFonts w:eastAsia="Times New Roman" w:cs="Times New Roman"/>
          <w:sz w:val="20"/>
          <w:szCs w:val="20"/>
          <w:lang w:eastAsia="it-IT"/>
        </w:rPr>
        <w:fldChar w:fldCharType="separate"/>
      </w:r>
      <w:r w:rsidRPr="00AD13A3">
        <w:rPr>
          <w:rFonts w:eastAsia="Times New Roman" w:cs="Times New Roman"/>
          <w:color w:val="0000FF"/>
          <w:sz w:val="20"/>
          <w:szCs w:val="20"/>
          <w:u w:val="single"/>
          <w:lang w:eastAsia="it-IT"/>
        </w:rPr>
        <w:t>Bouar</w:t>
      </w:r>
      <w:proofErr w:type="spellEnd"/>
      <w:r w:rsidRPr="00AD13A3">
        <w:rPr>
          <w:rFonts w:eastAsia="Times New Roman" w:cs="Times New Roman"/>
          <w:sz w:val="20"/>
          <w:szCs w:val="20"/>
          <w:lang w:eastAsia="it-IT"/>
        </w:rPr>
        <w:fldChar w:fldCharType="end"/>
      </w:r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9" w:tooltip="Ombella-M'Poko" w:history="1"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Ombella-M'Poko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</w:t>
      </w:r>
      <w:hyperlink r:id="rId30" w:tooltip="Bimbo (Repubblica Centrafricana)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Bimbo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31" w:tooltip="Ouaka" w:history="1"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Ouaka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</w:t>
      </w:r>
      <w:hyperlink r:id="rId32" w:tooltip="Bambari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Bambari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33" w:tooltip="Prefettura di Ouham" w:history="1"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Ouham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</w:t>
      </w:r>
      <w:proofErr w:type="spellStart"/>
      <w:r w:rsidRPr="00AD13A3">
        <w:rPr>
          <w:rFonts w:eastAsia="Times New Roman" w:cs="Times New Roman"/>
          <w:sz w:val="20"/>
          <w:szCs w:val="20"/>
          <w:lang w:eastAsia="it-IT"/>
        </w:rPr>
        <w:fldChar w:fldCharType="begin"/>
      </w:r>
      <w:r w:rsidRPr="00AD13A3">
        <w:rPr>
          <w:rFonts w:eastAsia="Times New Roman" w:cs="Times New Roman"/>
          <w:sz w:val="20"/>
          <w:szCs w:val="20"/>
          <w:lang w:eastAsia="it-IT"/>
        </w:rPr>
        <w:instrText xml:space="preserve"> HYPERLINK "https://it.wikipedia.org/wiki/Bossangoa" \o "Bossangoa" </w:instrText>
      </w:r>
      <w:r w:rsidRPr="00AD13A3">
        <w:rPr>
          <w:rFonts w:eastAsia="Times New Roman" w:cs="Times New Roman"/>
          <w:sz w:val="20"/>
          <w:szCs w:val="20"/>
          <w:lang w:eastAsia="it-IT"/>
        </w:rPr>
        <w:fldChar w:fldCharType="separate"/>
      </w:r>
      <w:r w:rsidRPr="00AD13A3">
        <w:rPr>
          <w:rFonts w:eastAsia="Times New Roman" w:cs="Times New Roman"/>
          <w:color w:val="0000FF"/>
          <w:sz w:val="20"/>
          <w:szCs w:val="20"/>
          <w:u w:val="single"/>
          <w:lang w:eastAsia="it-IT"/>
        </w:rPr>
        <w:t>Bossangoa</w:t>
      </w:r>
      <w:proofErr w:type="spellEnd"/>
      <w:r w:rsidRPr="00AD13A3">
        <w:rPr>
          <w:rFonts w:eastAsia="Times New Roman" w:cs="Times New Roman"/>
          <w:sz w:val="20"/>
          <w:szCs w:val="20"/>
          <w:lang w:eastAsia="it-IT"/>
        </w:rPr>
        <w:fldChar w:fldCharType="end"/>
      </w:r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34" w:tooltip="Ouham-Pendé" w:history="1"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Ouham</w:t>
        </w:r>
        <w:proofErr w:type="spellEnd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-Pendé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</w:t>
      </w:r>
      <w:proofErr w:type="spellStart"/>
      <w:r w:rsidRPr="00AD13A3">
        <w:rPr>
          <w:rFonts w:eastAsia="Times New Roman" w:cs="Times New Roman"/>
          <w:sz w:val="20"/>
          <w:szCs w:val="20"/>
          <w:lang w:eastAsia="it-IT"/>
        </w:rPr>
        <w:fldChar w:fldCharType="begin"/>
      </w:r>
      <w:r w:rsidRPr="00AD13A3">
        <w:rPr>
          <w:rFonts w:eastAsia="Times New Roman" w:cs="Times New Roman"/>
          <w:sz w:val="20"/>
          <w:szCs w:val="20"/>
          <w:lang w:eastAsia="it-IT"/>
        </w:rPr>
        <w:instrText xml:space="preserve"> HYPERLINK "https://it.wikipedia.org/wiki/Bozoum" \o "Bozoum" </w:instrText>
      </w:r>
      <w:r w:rsidRPr="00AD13A3">
        <w:rPr>
          <w:rFonts w:eastAsia="Times New Roman" w:cs="Times New Roman"/>
          <w:sz w:val="20"/>
          <w:szCs w:val="20"/>
          <w:lang w:eastAsia="it-IT"/>
        </w:rPr>
        <w:fldChar w:fldCharType="separate"/>
      </w:r>
      <w:r w:rsidRPr="00AD13A3">
        <w:rPr>
          <w:rFonts w:eastAsia="Times New Roman" w:cs="Times New Roman"/>
          <w:color w:val="0000FF"/>
          <w:sz w:val="20"/>
          <w:szCs w:val="20"/>
          <w:u w:val="single"/>
          <w:lang w:eastAsia="it-IT"/>
        </w:rPr>
        <w:t>Bozoum</w:t>
      </w:r>
      <w:proofErr w:type="spellEnd"/>
      <w:r w:rsidRPr="00AD13A3">
        <w:rPr>
          <w:rFonts w:eastAsia="Times New Roman" w:cs="Times New Roman"/>
          <w:sz w:val="20"/>
          <w:szCs w:val="20"/>
          <w:lang w:eastAsia="it-IT"/>
        </w:rPr>
        <w:fldChar w:fldCharType="end"/>
      </w:r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35" w:tooltip="Vakaga" w:history="1"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Vakaga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</w:t>
      </w:r>
      <w:proofErr w:type="spellStart"/>
      <w:r w:rsidRPr="00AD13A3">
        <w:rPr>
          <w:rFonts w:eastAsia="Times New Roman" w:cs="Times New Roman"/>
          <w:sz w:val="20"/>
          <w:szCs w:val="20"/>
          <w:lang w:eastAsia="it-IT"/>
        </w:rPr>
        <w:fldChar w:fldCharType="begin"/>
      </w:r>
      <w:r w:rsidRPr="00AD13A3">
        <w:rPr>
          <w:rFonts w:eastAsia="Times New Roman" w:cs="Times New Roman"/>
          <w:sz w:val="20"/>
          <w:szCs w:val="20"/>
          <w:lang w:eastAsia="it-IT"/>
        </w:rPr>
        <w:instrText xml:space="preserve"> HYPERLINK "https://it.wikipedia.org/wiki/Birao" \o "Birao" </w:instrText>
      </w:r>
      <w:r w:rsidRPr="00AD13A3">
        <w:rPr>
          <w:rFonts w:eastAsia="Times New Roman" w:cs="Times New Roman"/>
          <w:sz w:val="20"/>
          <w:szCs w:val="20"/>
          <w:lang w:eastAsia="it-IT"/>
        </w:rPr>
        <w:fldChar w:fldCharType="separate"/>
      </w:r>
      <w:r w:rsidRPr="00AD13A3">
        <w:rPr>
          <w:rFonts w:eastAsia="Times New Roman" w:cs="Times New Roman"/>
          <w:color w:val="0000FF"/>
          <w:sz w:val="20"/>
          <w:szCs w:val="20"/>
          <w:u w:val="single"/>
          <w:lang w:eastAsia="it-IT"/>
        </w:rPr>
        <w:t>Birao</w:t>
      </w:r>
      <w:proofErr w:type="spellEnd"/>
      <w:r w:rsidRPr="00AD13A3">
        <w:rPr>
          <w:rFonts w:eastAsia="Times New Roman" w:cs="Times New Roman"/>
          <w:sz w:val="20"/>
          <w:szCs w:val="20"/>
          <w:lang w:eastAsia="it-IT"/>
        </w:rPr>
        <w:fldChar w:fldCharType="end"/>
      </w:r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AD13A3">
        <w:rPr>
          <w:rFonts w:eastAsia="Times New Roman" w:cs="Times New Roman"/>
          <w:sz w:val="20"/>
          <w:szCs w:val="20"/>
          <w:lang w:eastAsia="it-IT"/>
        </w:rPr>
        <w:lastRenderedPageBreak/>
        <w:t xml:space="preserve">In aggiunta ci sono due prefetture economiche: </w:t>
      </w:r>
    </w:p>
    <w:p w:rsidR="00AD13A3" w:rsidRPr="00AD13A3" w:rsidRDefault="00AD13A3" w:rsidP="00AD13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36" w:tooltip="Prefettura di Nana-Grébizi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Nana-</w:t>
        </w:r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Grébizi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(capitale: </w:t>
      </w:r>
      <w:hyperlink r:id="rId37" w:tooltip="Kaga-Bandoro" w:history="1"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Kaga-Bandoro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38" w:tooltip="Prefettura di Sangha-Mbaéré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Sangha-</w:t>
        </w:r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Mbaéré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(capitale: </w:t>
      </w:r>
      <w:hyperlink r:id="rId39" w:tooltip="Nola (Repubblica Centrafricana)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Nola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>)</w:t>
      </w:r>
    </w:p>
    <w:p w:rsidR="00AD13A3" w:rsidRPr="00AD13A3" w:rsidRDefault="00AD13A3" w:rsidP="00AD13A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AD13A3">
        <w:rPr>
          <w:rFonts w:eastAsia="Times New Roman" w:cs="Times New Roman"/>
          <w:sz w:val="20"/>
          <w:szCs w:val="20"/>
          <w:lang w:eastAsia="it-IT"/>
        </w:rPr>
        <w:t xml:space="preserve">Il comune autonomo è la capitale </w:t>
      </w:r>
      <w:hyperlink r:id="rId40" w:tooltip="Bangui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Bangui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. Le prefetture sono a loro volta divise in 71 </w:t>
      </w:r>
      <w:hyperlink r:id="rId41" w:tooltip="Subprefetture della Repubblica Centrafricana" w:history="1"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subprefetture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. </w:t>
      </w:r>
    </w:p>
    <w:p w:rsidR="00AD13A3" w:rsidRPr="00AD13A3" w:rsidRDefault="00AD13A3" w:rsidP="00AD13A3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AD13A3">
        <w:rPr>
          <w:rFonts w:eastAsia="Times New Roman" w:cs="Times New Roman"/>
          <w:sz w:val="20"/>
          <w:szCs w:val="20"/>
          <w:lang w:eastAsia="it-IT"/>
        </w:rPr>
        <w:t xml:space="preserve">L'agricoltura è dominata dalla coltivazione e vendita di colture alimentari come </w:t>
      </w:r>
      <w:hyperlink r:id="rId42" w:tooltip="Manioca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manioca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, </w:t>
      </w:r>
      <w:hyperlink r:id="rId43" w:tooltip="Arachis hypogaea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arachidi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, </w:t>
      </w:r>
      <w:hyperlink r:id="rId44" w:tooltip="Mais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mais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, </w:t>
      </w:r>
      <w:hyperlink r:id="rId45" w:tooltip="Sorgo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sorgo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, </w:t>
      </w:r>
      <w:hyperlink r:id="rId46" w:tooltip="Panicum miliaceum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miglio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, </w:t>
      </w:r>
      <w:hyperlink r:id="rId47" w:tooltip="Sesamo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sesamo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e </w:t>
      </w:r>
      <w:hyperlink r:id="rId48" w:tooltip="Piantaggine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piantaggine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. Il tasso di crescita reale del PIL annuo è di poco più del 3%. L'importanza maggiore delle colture alimentari rispetto alle colture esportate è indicata dal fatto che la produzione totale di manioca, l'alimento base della maggior parte degli abitanti dell'Africa Centrale, oscilla tra le 200.000 e le 300.000 tonnellate l'anno, mentre la produzione di </w:t>
      </w:r>
      <w:hyperlink r:id="rId49" w:tooltip="Cotone (botanica)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cotone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, il principale prodotto agricolo esportato per valore, varia da 25.000 a 45.000 tonnellate l'anno. Le colture alimentari non vengono esportate in grandi quantità, ma costituiscono ancora le colture principali del paese, perché i centroafricani ricavano molto più reddito dalla vendita periodica delle colture alimentari in eccedenza rispetto a quelle esportate come il cotone o il caffè. Principale partner di importazione della Repubblica è la </w:t>
      </w:r>
      <w:hyperlink r:id="rId50" w:tooltip="Corea del Sud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Corea del Sud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(45,8%). Altre importazioni provengono da </w:t>
      </w:r>
      <w:hyperlink r:id="rId51" w:tooltip="Paesi Bassi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Paesi Bassi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(8,8%), Francia (7,2%) e Camerun (5,1%). Il suo più grande partner di esportazione è il </w:t>
      </w:r>
      <w:hyperlink r:id="rId52" w:tooltip="Belgio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Belgio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(30,4%), seguito dalla </w:t>
      </w:r>
      <w:hyperlink r:id="rId53" w:tooltip="Cina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Cina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(17,1%), la Repubblica Democratica del Congo (7,9%), Francia (7,1%), </w:t>
      </w:r>
      <w:hyperlink r:id="rId54" w:tooltip="Indonesia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Indonesia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(6,3%) e </w:t>
      </w:r>
      <w:hyperlink r:id="rId55" w:tooltip="Marocco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Marocco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(5,3%). Il </w:t>
      </w:r>
      <w:hyperlink r:id="rId56" w:tooltip="Reddito pro-capite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reddito pro-capite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della Repubblica viene spesso indicato come intorno ai 300 dollari l'anno, uno dei più bassi del mondo, ma tale dato si basa principalmente sulle esportazioni e ignora in gran parte la vendita non registrata di prodotti alimentari e di produzione locale di alcool, diamanti, avorio, carne di animali selvatici e medicina tradizionale. Per la maggior parte degli africani centrali, l'economia informale del paese è più importante dell'economia formale. I diamanti costituiscono l'esportazione più importante del paese, rappresentando il 40-55% dei proventi ufficiali, ma si stima che tra il 30% e il 50% di tali prodotti lascino ogni anno il paese clandestinamente. Il commercio d'esportazione è ostacolato dallo scarso sviluppo economico e dalla posizione del paese molto distante dalla costa. Le regioni selvagge di questo paese rappresentano potenziali destinazioni eco-turistiche. Il </w:t>
      </w:r>
      <w:hyperlink r:id="rId57" w:tooltip="Riserva speciale Dzanga-Sangha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 xml:space="preserve">Parco Nazionale </w:t>
        </w:r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Dzanga</w:t>
        </w:r>
        <w:proofErr w:type="spellEnd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-Sangha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è situato in una zona di foresta pluviale. Il paese è noto per la sua popolazione di </w:t>
      </w:r>
      <w:hyperlink r:id="rId58" w:tooltip="Loxodonta cyclotis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elefanti di foresta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e </w:t>
      </w:r>
      <w:hyperlink r:id="rId59" w:tooltip="Gorilla di pianura occidentale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gorilla di pianura occidentale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. A nord, il </w:t>
      </w:r>
      <w:hyperlink r:id="rId60" w:tooltip="Parco nazionale Manovo-Gounda St. Floris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 xml:space="preserve">Parco Nazionale </w:t>
        </w:r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Manovo-Gounda</w:t>
        </w:r>
        <w:proofErr w:type="spellEnd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 xml:space="preserve"> St. Floris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è ben popolato di fauna selvatica, tra cui </w:t>
      </w:r>
      <w:hyperlink r:id="rId61" w:tooltip="Panthera pardus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leopardi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, </w:t>
      </w:r>
      <w:hyperlink r:id="rId62" w:tooltip="Leone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leoni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e </w:t>
      </w:r>
      <w:hyperlink r:id="rId63" w:tooltip="Rinoceronte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rinoceronti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. Il Parco Nazionale </w:t>
      </w:r>
      <w:proofErr w:type="spellStart"/>
      <w:r w:rsidRPr="00AD13A3">
        <w:rPr>
          <w:rFonts w:eastAsia="Times New Roman" w:cs="Times New Roman"/>
          <w:sz w:val="20"/>
          <w:szCs w:val="20"/>
          <w:lang w:eastAsia="it-IT"/>
        </w:rPr>
        <w:t>Bamingui-Bangoran</w:t>
      </w:r>
      <w:proofErr w:type="spellEnd"/>
      <w:r w:rsidRPr="00AD13A3">
        <w:rPr>
          <w:rFonts w:eastAsia="Times New Roman" w:cs="Times New Roman"/>
          <w:sz w:val="20"/>
          <w:szCs w:val="20"/>
          <w:lang w:eastAsia="it-IT"/>
        </w:rPr>
        <w:t xml:space="preserve"> è situato nella parte nord-est della Repubblica. I parchi sono stati gravemente colpiti dalle attività dei bracconieri, in particolare dal Sudan, nel corso degli ultimi due decenni. La Repubblica Centrafricana è un membro dell'Organizzazione per l'armonizzazione del diritto commerciale in Africa (OHADA). Nella relazione del Gruppo della Banca Mondiale </w:t>
      </w:r>
      <w:proofErr w:type="spellStart"/>
      <w:r w:rsidRPr="00AD13A3">
        <w:rPr>
          <w:rFonts w:eastAsia="Times New Roman" w:cs="Times New Roman"/>
          <w:i/>
          <w:iCs/>
          <w:sz w:val="20"/>
          <w:szCs w:val="20"/>
          <w:lang w:eastAsia="it-IT"/>
        </w:rPr>
        <w:t>Doing</w:t>
      </w:r>
      <w:proofErr w:type="spellEnd"/>
      <w:r w:rsidRPr="00AD13A3">
        <w:rPr>
          <w:rFonts w:eastAsia="Times New Roman" w:cs="Times New Roman"/>
          <w:i/>
          <w:iCs/>
          <w:sz w:val="20"/>
          <w:szCs w:val="20"/>
          <w:lang w:eastAsia="it-IT"/>
        </w:rPr>
        <w:t xml:space="preserve"> Business 2009</w:t>
      </w:r>
      <w:r w:rsidRPr="00AD13A3">
        <w:rPr>
          <w:rFonts w:eastAsia="Times New Roman" w:cs="Times New Roman"/>
          <w:sz w:val="20"/>
          <w:szCs w:val="20"/>
          <w:lang w:eastAsia="it-IT"/>
        </w:rPr>
        <w:t xml:space="preserve">, si è classificata 180ª su 181 per quanto riguarda la "facilità di business", un indice composito che tiene conto delle norme che migliorano gli affari. </w:t>
      </w:r>
    </w:p>
    <w:p w:rsidR="00AD13A3" w:rsidRPr="00AD13A3" w:rsidRDefault="00AD13A3" w:rsidP="00AD13A3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3576902</wp:posOffset>
                </wp:positionH>
                <wp:positionV relativeFrom="paragraph">
                  <wp:posOffset>2777466</wp:posOffset>
                </wp:positionV>
                <wp:extent cx="2069432" cy="1498686"/>
                <wp:effectExtent l="0" t="0" r="26670" b="254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32" cy="1498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3A3" w:rsidRDefault="00AD13A3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879600" cy="2020401"/>
                                  <wp:effectExtent l="0" t="0" r="6350" b="0"/>
                                  <wp:docPr id="4" name="Immagine 4" descr="Centrafrica - Mapp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entrafrica - Mapp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600" cy="2020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281.65pt;margin-top:218.7pt;width:162.95pt;height:1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" fillcolor="white [3201]" strokeweight=".5pt">
                <v:textbox>
                  <w:txbxContent>
                    <w:p w:rsidR="00AD13A3" w:rsidRDefault="00AD13A3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879600" cy="2020401"/>
                            <wp:effectExtent l="0" t="0" r="6350" b="0"/>
                            <wp:docPr id="4" name="Immagine 4" descr="Centrafrica - Mapp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entrafrica - Mapp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9600" cy="2020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D13A3">
        <w:rPr>
          <w:rFonts w:eastAsia="Times New Roman" w:cs="Times New Roman"/>
          <w:sz w:val="20"/>
          <w:szCs w:val="20"/>
          <w:lang w:eastAsia="it-IT"/>
        </w:rPr>
        <w:t xml:space="preserve">Come molte altre ex colonie francesi, il sistema giuridico della Repubblica Centrafricana è basato sul diritto francese. Una nuova costituzione è stata approvata dagli elettori in un referendum tenutosi il 5 dicembre 2004. Le prime consultazioni multipartitiche sono state le </w:t>
      </w:r>
      <w:hyperlink r:id="rId65" w:tooltip="Elezioni generali nella Repubblica Centrafricana del 2005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elezioni generali del 2005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(presidenziali e parlamentari). </w:t>
      </w:r>
      <w:hyperlink r:id="rId66" w:tooltip="François Bozizé" w:history="1"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Bozizé</w:t>
        </w:r>
        <w:proofErr w:type="spellEnd"/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è stato dichiarato vincitore dopo un ballottaggio. Un paio di anni più tardi, la Repubblica Centrafricana è stata vittima di una delle tante guerre civili, ribellioni e rivoluzioni in Africa. Nel febbraio del 2006 ci sono state segnalazioni di violenza diffusa nella parte settentrionale del paese. Profughi a migliaia sono fuggiti dalle proprie case e sono stati coinvolti nello scontro a fuoco tra le truppe governative e le forze ribelli. Più di 7.000 persone sono fuggite nel vicino Ciad. Coloro che sono rimasti nel paese hanno raccontato di come le truppe governative abbiano sistematicamente ucciso uomini e ragazzi sospettati di collaborazione con i ribelli. L'esercito francese ha sostenuto la risposta del governo </w:t>
      </w:r>
      <w:proofErr w:type="spellStart"/>
      <w:r w:rsidRPr="00AD13A3">
        <w:rPr>
          <w:rFonts w:eastAsia="Times New Roman" w:cs="Times New Roman"/>
          <w:sz w:val="20"/>
          <w:szCs w:val="20"/>
          <w:lang w:eastAsia="it-IT"/>
        </w:rPr>
        <w:t>Bozizé</w:t>
      </w:r>
      <w:proofErr w:type="spellEnd"/>
      <w:r w:rsidRPr="00AD13A3">
        <w:rPr>
          <w:rFonts w:eastAsia="Times New Roman" w:cs="Times New Roman"/>
          <w:sz w:val="20"/>
          <w:szCs w:val="20"/>
          <w:lang w:eastAsia="it-IT"/>
        </w:rPr>
        <w:t xml:space="preserve"> ai ribelli nel novembre 2006. Nel marzo 2010, </w:t>
      </w:r>
      <w:proofErr w:type="spellStart"/>
      <w:r w:rsidRPr="00AD13A3">
        <w:rPr>
          <w:rFonts w:eastAsia="Times New Roman" w:cs="Times New Roman"/>
          <w:sz w:val="20"/>
          <w:szCs w:val="20"/>
          <w:lang w:eastAsia="it-IT"/>
        </w:rPr>
        <w:t>Bozizé</w:t>
      </w:r>
      <w:proofErr w:type="spellEnd"/>
      <w:r w:rsidRPr="00AD13A3">
        <w:rPr>
          <w:rFonts w:eastAsia="Times New Roman" w:cs="Times New Roman"/>
          <w:sz w:val="20"/>
          <w:szCs w:val="20"/>
          <w:lang w:eastAsia="it-IT"/>
        </w:rPr>
        <w:t xml:space="preserve"> ha firmato un decreto in cui dichiara che le elezioni presidenziali si sarebbero dovute tenere il 25 aprile 2010. Le elezioni sono state rinviate, in un primo tempo al 16 maggio e poi a tempo indeterminato. Le </w:t>
      </w:r>
      <w:hyperlink r:id="rId67" w:tooltip="Elezioni generali nella Repubblica centrafricana del 2001 (la pagina non esiste)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elezioni generali del 2011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 si sono poi tenute il 23 gennaio (primo turno) e il 27 marzo (secondo turno), nonostante i gravi problemi organizzativi, l'elezione è proceduta come previsto. Le elezioni sono state in parte finanziate dal Programma di sviluppo delle Nazioni Unite e dell'Unione europea. L'</w:t>
      </w:r>
      <w:proofErr w:type="spellStart"/>
      <w:r w:rsidRPr="00AD13A3">
        <w:rPr>
          <w:rFonts w:eastAsia="Times New Roman" w:cs="Times New Roman"/>
          <w:i/>
          <w:iCs/>
          <w:sz w:val="20"/>
          <w:szCs w:val="20"/>
          <w:lang w:eastAsia="it-IT"/>
        </w:rPr>
        <w:t>Observatoire</w:t>
      </w:r>
      <w:proofErr w:type="spellEnd"/>
      <w:r w:rsidRPr="00AD13A3">
        <w:rPr>
          <w:rFonts w:eastAsia="Times New Roman" w:cs="Times New Roman"/>
          <w:i/>
          <w:iCs/>
          <w:sz w:val="20"/>
          <w:szCs w:val="20"/>
          <w:lang w:eastAsia="it-IT"/>
        </w:rPr>
        <w:t xml:space="preserve"> </w:t>
      </w:r>
      <w:proofErr w:type="spellStart"/>
      <w:r w:rsidRPr="00AD13A3">
        <w:rPr>
          <w:rFonts w:eastAsia="Times New Roman" w:cs="Times New Roman"/>
          <w:i/>
          <w:iCs/>
          <w:sz w:val="20"/>
          <w:szCs w:val="20"/>
          <w:lang w:eastAsia="it-IT"/>
        </w:rPr>
        <w:t>national</w:t>
      </w:r>
      <w:proofErr w:type="spellEnd"/>
      <w:r w:rsidRPr="00AD13A3">
        <w:rPr>
          <w:rFonts w:eastAsia="Times New Roman" w:cs="Times New Roman"/>
          <w:i/>
          <w:iCs/>
          <w:sz w:val="20"/>
          <w:szCs w:val="20"/>
          <w:lang w:eastAsia="it-IT"/>
        </w:rPr>
        <w:t xml:space="preserve"> </w:t>
      </w:r>
      <w:proofErr w:type="spellStart"/>
      <w:r w:rsidRPr="00AD13A3">
        <w:rPr>
          <w:rFonts w:eastAsia="Times New Roman" w:cs="Times New Roman"/>
          <w:i/>
          <w:iCs/>
          <w:sz w:val="20"/>
          <w:szCs w:val="20"/>
          <w:lang w:eastAsia="it-IT"/>
        </w:rPr>
        <w:t>des</w:t>
      </w:r>
      <w:proofErr w:type="spellEnd"/>
      <w:r w:rsidRPr="00AD13A3">
        <w:rPr>
          <w:rFonts w:eastAsia="Times New Roman" w:cs="Times New Roman"/>
          <w:i/>
          <w:iCs/>
          <w:sz w:val="20"/>
          <w:szCs w:val="20"/>
          <w:lang w:eastAsia="it-IT"/>
        </w:rPr>
        <w:t xml:space="preserve"> </w:t>
      </w:r>
      <w:proofErr w:type="spellStart"/>
      <w:r w:rsidRPr="00AD13A3">
        <w:rPr>
          <w:rFonts w:eastAsia="Times New Roman" w:cs="Times New Roman"/>
          <w:i/>
          <w:iCs/>
          <w:sz w:val="20"/>
          <w:szCs w:val="20"/>
          <w:lang w:eastAsia="it-IT"/>
        </w:rPr>
        <w:t>éléctions</w:t>
      </w:r>
      <w:proofErr w:type="spellEnd"/>
      <w:r w:rsidRPr="00AD13A3">
        <w:rPr>
          <w:rFonts w:eastAsia="Times New Roman" w:cs="Times New Roman"/>
          <w:sz w:val="20"/>
          <w:szCs w:val="20"/>
          <w:lang w:eastAsia="it-IT"/>
        </w:rPr>
        <w:t xml:space="preserve"> ha avuto il compito di monitorare il processo elettorale. </w:t>
      </w:r>
      <w:proofErr w:type="spellStart"/>
      <w:r w:rsidRPr="00AD13A3">
        <w:rPr>
          <w:rFonts w:eastAsia="Times New Roman" w:cs="Times New Roman"/>
          <w:sz w:val="20"/>
          <w:szCs w:val="20"/>
          <w:lang w:eastAsia="it-IT"/>
        </w:rPr>
        <w:t>Bozizé</w:t>
      </w:r>
      <w:proofErr w:type="spellEnd"/>
      <w:r w:rsidRPr="00AD13A3">
        <w:rPr>
          <w:rFonts w:eastAsia="Times New Roman" w:cs="Times New Roman"/>
          <w:sz w:val="20"/>
          <w:szCs w:val="20"/>
          <w:lang w:eastAsia="it-IT"/>
        </w:rPr>
        <w:t xml:space="preserve"> è stato eletto al primo turno con il 66,1% dei voti, contro il 20,1% di </w:t>
      </w:r>
      <w:proofErr w:type="spellStart"/>
      <w:r w:rsidRPr="00AD13A3">
        <w:rPr>
          <w:rFonts w:eastAsia="Times New Roman" w:cs="Times New Roman"/>
          <w:sz w:val="20"/>
          <w:szCs w:val="20"/>
          <w:lang w:eastAsia="it-IT"/>
        </w:rPr>
        <w:t>Patassé</w:t>
      </w:r>
      <w:proofErr w:type="spellEnd"/>
      <w:r w:rsidRPr="00AD13A3">
        <w:rPr>
          <w:rFonts w:eastAsia="Times New Roman" w:cs="Times New Roman"/>
          <w:sz w:val="20"/>
          <w:szCs w:val="20"/>
          <w:lang w:eastAsia="it-IT"/>
        </w:rPr>
        <w:t xml:space="preserve">; le elezioni parlamentari hanno visto la vittoria della </w:t>
      </w:r>
      <w:hyperlink r:id="rId68" w:tooltip="Convergenza Nazionale &quot;Kwa Na Kwa&quot;" w:history="1"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Convergenza Nazionale "</w:t>
        </w:r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Kwa</w:t>
        </w:r>
        <w:proofErr w:type="spellEnd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 xml:space="preserve"> Na </w:t>
        </w:r>
        <w:proofErr w:type="spellStart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Kwa</w:t>
        </w:r>
        <w:proofErr w:type="spellEnd"/>
        <w:r w:rsidRPr="00AD13A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"</w:t>
        </w:r>
      </w:hyperlink>
      <w:r w:rsidRPr="00AD13A3">
        <w:rPr>
          <w:rFonts w:eastAsia="Times New Roman" w:cs="Times New Roman"/>
          <w:sz w:val="20"/>
          <w:szCs w:val="20"/>
          <w:lang w:eastAsia="it-IT"/>
        </w:rPr>
        <w:t xml:space="preserve">, partito di </w:t>
      </w:r>
      <w:proofErr w:type="spellStart"/>
      <w:r w:rsidRPr="00AD13A3">
        <w:rPr>
          <w:rFonts w:eastAsia="Times New Roman" w:cs="Times New Roman"/>
          <w:sz w:val="20"/>
          <w:szCs w:val="20"/>
          <w:lang w:eastAsia="it-IT"/>
        </w:rPr>
        <w:t>Bozizé</w:t>
      </w:r>
      <w:proofErr w:type="spellEnd"/>
      <w:r w:rsidRPr="00AD13A3">
        <w:rPr>
          <w:rFonts w:eastAsia="Times New Roman" w:cs="Times New Roman"/>
          <w:sz w:val="20"/>
          <w:szCs w:val="20"/>
          <w:lang w:eastAsia="it-IT"/>
        </w:rPr>
        <w:t xml:space="preserve">, che ha ottenuto 61 seggi su 100. </w:t>
      </w:r>
    </w:p>
    <w:p w:rsidR="00AD13A3" w:rsidRPr="00AD13A3" w:rsidRDefault="00AD13A3">
      <w:pPr>
        <w:rPr>
          <w:i/>
          <w:sz w:val="20"/>
          <w:szCs w:val="20"/>
        </w:rPr>
      </w:pPr>
      <w:bookmarkStart w:id="0" w:name="_GoBack"/>
      <w:bookmarkEnd w:id="0"/>
      <w:r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1081209</wp:posOffset>
                </wp:positionH>
                <wp:positionV relativeFrom="paragraph">
                  <wp:posOffset>256362</wp:posOffset>
                </wp:positionV>
                <wp:extent cx="2413091" cy="302509"/>
                <wp:effectExtent l="0" t="0" r="25400" b="2159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91" cy="30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3A3" w:rsidRDefault="00AD13A3">
                            <w: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85.15pt;margin-top:20.2pt;width:190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" fillcolor="white [3201]" strokeweight=".5pt">
                <v:textbox>
                  <w:txbxContent>
                    <w:p w:rsidR="00AD13A3" w:rsidRDefault="00AD13A3">
                      <w: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3A3" w:rsidRPr="00AD13A3">
      <w:headerReference w:type="default" r:id="rId6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A3" w:rsidRDefault="00AD13A3" w:rsidP="00AD13A3">
      <w:pPr>
        <w:spacing w:after="0" w:line="240" w:lineRule="auto"/>
      </w:pPr>
      <w:r>
        <w:separator/>
      </w:r>
    </w:p>
  </w:endnote>
  <w:endnote w:type="continuationSeparator" w:id="0">
    <w:p w:rsidR="00AD13A3" w:rsidRDefault="00AD13A3" w:rsidP="00AD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A3" w:rsidRDefault="00AD13A3" w:rsidP="00AD13A3">
      <w:pPr>
        <w:spacing w:after="0" w:line="240" w:lineRule="auto"/>
      </w:pPr>
      <w:r>
        <w:separator/>
      </w:r>
    </w:p>
  </w:footnote>
  <w:footnote w:type="continuationSeparator" w:id="0">
    <w:p w:rsidR="00AD13A3" w:rsidRDefault="00AD13A3" w:rsidP="00AD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3A3" w:rsidRDefault="00AD13A3">
    <w:pPr>
      <w:pStyle w:val="Intestazione"/>
    </w:pPr>
    <w:r>
      <w:t>PRESENTAZIONE: REPUBBLICA CENTRAFRICANA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7BF1"/>
    <w:multiLevelType w:val="multilevel"/>
    <w:tmpl w:val="2476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51532"/>
    <w:multiLevelType w:val="hybridMultilevel"/>
    <w:tmpl w:val="BFCC9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948A1"/>
    <w:multiLevelType w:val="multilevel"/>
    <w:tmpl w:val="3AC4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A3"/>
    <w:rsid w:val="00737D2C"/>
    <w:rsid w:val="00AD13A3"/>
    <w:rsid w:val="00DC09CE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13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3A3"/>
  </w:style>
  <w:style w:type="paragraph" w:styleId="Pidipagina">
    <w:name w:val="footer"/>
    <w:basedOn w:val="Normale"/>
    <w:link w:val="PidipaginaCarattere"/>
    <w:uiPriority w:val="99"/>
    <w:unhideWhenUsed/>
    <w:rsid w:val="00AD13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3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3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D13A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D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1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13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3A3"/>
  </w:style>
  <w:style w:type="paragraph" w:styleId="Pidipagina">
    <w:name w:val="footer"/>
    <w:basedOn w:val="Normale"/>
    <w:link w:val="PidipaginaCarattere"/>
    <w:uiPriority w:val="99"/>
    <w:unhideWhenUsed/>
    <w:rsid w:val="00AD13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3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3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D13A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D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Mbomou" TargetMode="External"/><Relationship Id="rId21" Type="http://schemas.openxmlformats.org/officeDocument/2006/relationships/hyperlink" Target="https://it.wikipedia.org/wiki/Haut-Mbomou" TargetMode="External"/><Relationship Id="rId42" Type="http://schemas.openxmlformats.org/officeDocument/2006/relationships/hyperlink" Target="https://it.wikipedia.org/wiki/Manioca" TargetMode="External"/><Relationship Id="rId47" Type="http://schemas.openxmlformats.org/officeDocument/2006/relationships/hyperlink" Target="https://it.wikipedia.org/wiki/Sesamo" TargetMode="External"/><Relationship Id="rId63" Type="http://schemas.openxmlformats.org/officeDocument/2006/relationships/hyperlink" Target="https://it.wikipedia.org/wiki/Rinoceronte" TargetMode="External"/><Relationship Id="rId68" Type="http://schemas.openxmlformats.org/officeDocument/2006/relationships/hyperlink" Target="https://it.wikipedia.org/wiki/Convergenza_Nazionale_%22Kwa_Na_Kwa%22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Bamingui-Bangoran" TargetMode="External"/><Relationship Id="rId29" Type="http://schemas.openxmlformats.org/officeDocument/2006/relationships/hyperlink" Target="https://it.wikipedia.org/wiki/Ombella-M%27Poko" TargetMode="External"/><Relationship Id="rId11" Type="http://schemas.openxmlformats.org/officeDocument/2006/relationships/hyperlink" Target="https://it.wikipedia.org/wiki/Lingua_sango" TargetMode="External"/><Relationship Id="rId24" Type="http://schemas.openxmlformats.org/officeDocument/2006/relationships/hyperlink" Target="https://it.wikipedia.org/wiki/Lobaye" TargetMode="External"/><Relationship Id="rId32" Type="http://schemas.openxmlformats.org/officeDocument/2006/relationships/hyperlink" Target="https://it.wikipedia.org/wiki/Bambari" TargetMode="External"/><Relationship Id="rId37" Type="http://schemas.openxmlformats.org/officeDocument/2006/relationships/hyperlink" Target="https://it.wikipedia.org/wiki/Kaga-Bandoro" TargetMode="External"/><Relationship Id="rId40" Type="http://schemas.openxmlformats.org/officeDocument/2006/relationships/hyperlink" Target="https://it.wikipedia.org/wiki/Bangui" TargetMode="External"/><Relationship Id="rId45" Type="http://schemas.openxmlformats.org/officeDocument/2006/relationships/hyperlink" Target="https://it.wikipedia.org/wiki/Sorgo" TargetMode="External"/><Relationship Id="rId53" Type="http://schemas.openxmlformats.org/officeDocument/2006/relationships/hyperlink" Target="https://it.wikipedia.org/wiki/Cina" TargetMode="External"/><Relationship Id="rId58" Type="http://schemas.openxmlformats.org/officeDocument/2006/relationships/hyperlink" Target="https://it.wikipedia.org/wiki/Loxodonta_cyclotis" TargetMode="External"/><Relationship Id="rId66" Type="http://schemas.openxmlformats.org/officeDocument/2006/relationships/hyperlink" Target="https://it.wikipedia.org/wiki/Fran%C3%A7ois_Boziz%C3%A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t.wikipedia.org/wiki/Panthera_pardus" TargetMode="External"/><Relationship Id="rId19" Type="http://schemas.openxmlformats.org/officeDocument/2006/relationships/hyperlink" Target="https://it.wikipedia.org/wiki/Haute-Kotto" TargetMode="External"/><Relationship Id="rId14" Type="http://schemas.openxmlformats.org/officeDocument/2006/relationships/hyperlink" Target="https://it.wikipedia.org/wiki/Protestantesimo" TargetMode="External"/><Relationship Id="rId22" Type="http://schemas.openxmlformats.org/officeDocument/2006/relationships/hyperlink" Target="https://it.wikipedia.org/wiki/K%C3%A9mo" TargetMode="External"/><Relationship Id="rId27" Type="http://schemas.openxmlformats.org/officeDocument/2006/relationships/hyperlink" Target="https://it.wikipedia.org/wiki/Bangassou" TargetMode="External"/><Relationship Id="rId30" Type="http://schemas.openxmlformats.org/officeDocument/2006/relationships/hyperlink" Target="https://it.wikipedia.org/wiki/Bimbo_(Repubblica_Centrafricana)" TargetMode="External"/><Relationship Id="rId35" Type="http://schemas.openxmlformats.org/officeDocument/2006/relationships/hyperlink" Target="https://it.wikipedia.org/wiki/Vakaga" TargetMode="External"/><Relationship Id="rId43" Type="http://schemas.openxmlformats.org/officeDocument/2006/relationships/hyperlink" Target="https://it.wikipedia.org/wiki/Arachis_hypogaea" TargetMode="External"/><Relationship Id="rId48" Type="http://schemas.openxmlformats.org/officeDocument/2006/relationships/hyperlink" Target="https://it.wikipedia.org/wiki/Piantaggine" TargetMode="External"/><Relationship Id="rId56" Type="http://schemas.openxmlformats.org/officeDocument/2006/relationships/hyperlink" Target="https://it.wikipedia.org/wiki/Reddito_pro-capite" TargetMode="External"/><Relationship Id="rId64" Type="http://schemas.openxmlformats.org/officeDocument/2006/relationships/image" Target="media/image2.gif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it.wikipedia.org/wiki/Paesi_Bass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Religione_cristiana" TargetMode="External"/><Relationship Id="rId17" Type="http://schemas.openxmlformats.org/officeDocument/2006/relationships/hyperlink" Target="https://it.wikipedia.org/wiki/Nd%C3%A9l%C3%A9" TargetMode="External"/><Relationship Id="rId25" Type="http://schemas.openxmlformats.org/officeDocument/2006/relationships/hyperlink" Target="https://it.wikipedia.org/wiki/Mamb%C3%A9r%C3%A9-Kad%C3%A9%C3%AF" TargetMode="External"/><Relationship Id="rId33" Type="http://schemas.openxmlformats.org/officeDocument/2006/relationships/hyperlink" Target="https://it.wikipedia.org/wiki/Prefettura_di_Ouham" TargetMode="External"/><Relationship Id="rId38" Type="http://schemas.openxmlformats.org/officeDocument/2006/relationships/hyperlink" Target="https://it.wikipedia.org/wiki/Prefettura_di_Sangha-Mba%C3%A9r%C3%A9" TargetMode="External"/><Relationship Id="rId46" Type="http://schemas.openxmlformats.org/officeDocument/2006/relationships/hyperlink" Target="https://it.wikipedia.org/wiki/Panicum_miliaceum" TargetMode="External"/><Relationship Id="rId59" Type="http://schemas.openxmlformats.org/officeDocument/2006/relationships/hyperlink" Target="https://it.wikipedia.org/wiki/Gorilla_di_pianura_occidentale" TargetMode="External"/><Relationship Id="rId67" Type="http://schemas.openxmlformats.org/officeDocument/2006/relationships/hyperlink" Target="https://it.wikipedia.org/w/index.php?title=Elezioni_generali_nella_Repubblica_centrafricana_del_2001&amp;action=edit&amp;redlink=1" TargetMode="External"/><Relationship Id="rId20" Type="http://schemas.openxmlformats.org/officeDocument/2006/relationships/hyperlink" Target="https://it.wikipedia.org/wiki/Bria_(Repubblica_Centrafricana)" TargetMode="External"/><Relationship Id="rId41" Type="http://schemas.openxmlformats.org/officeDocument/2006/relationships/hyperlink" Target="https://it.wikipedia.org/wiki/Subprefetture_della_Repubblica_Centrafricana" TargetMode="External"/><Relationship Id="rId54" Type="http://schemas.openxmlformats.org/officeDocument/2006/relationships/hyperlink" Target="https://it.wikipedia.org/wiki/Indonesia" TargetMode="External"/><Relationship Id="rId62" Type="http://schemas.openxmlformats.org/officeDocument/2006/relationships/hyperlink" Target="https://it.wikipedia.org/wiki/Leone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t.wikipedia.org/wiki/Islam" TargetMode="External"/><Relationship Id="rId23" Type="http://schemas.openxmlformats.org/officeDocument/2006/relationships/hyperlink" Target="https://it.wikipedia.org/wiki/Sibut" TargetMode="External"/><Relationship Id="rId28" Type="http://schemas.openxmlformats.org/officeDocument/2006/relationships/hyperlink" Target="https://it.wikipedia.org/wiki/Nana-Mamb%C3%A9r%C3%A9" TargetMode="External"/><Relationship Id="rId36" Type="http://schemas.openxmlformats.org/officeDocument/2006/relationships/hyperlink" Target="https://it.wikipedia.org/wiki/Prefettura_di_Nana-Gr%C3%A9bizi" TargetMode="External"/><Relationship Id="rId49" Type="http://schemas.openxmlformats.org/officeDocument/2006/relationships/hyperlink" Target="https://it.wikipedia.org/wiki/Cotone_(botanica)" TargetMode="External"/><Relationship Id="rId57" Type="http://schemas.openxmlformats.org/officeDocument/2006/relationships/hyperlink" Target="https://it.wikipedia.org/wiki/Riserva_speciale_Dzanga-Sangha" TargetMode="External"/><Relationship Id="rId10" Type="http://schemas.openxmlformats.org/officeDocument/2006/relationships/hyperlink" Target="https://it.wikipedia.org/wiki/Fulani" TargetMode="External"/><Relationship Id="rId31" Type="http://schemas.openxmlformats.org/officeDocument/2006/relationships/hyperlink" Target="https://it.wikipedia.org/wiki/Ouaka" TargetMode="External"/><Relationship Id="rId44" Type="http://schemas.openxmlformats.org/officeDocument/2006/relationships/hyperlink" Target="https://it.wikipedia.org/wiki/Mais" TargetMode="External"/><Relationship Id="rId52" Type="http://schemas.openxmlformats.org/officeDocument/2006/relationships/hyperlink" Target="https://it.wikipedia.org/wiki/Belgio" TargetMode="External"/><Relationship Id="rId60" Type="http://schemas.openxmlformats.org/officeDocument/2006/relationships/hyperlink" Target="https://it.wikipedia.org/wiki/Parco_nazionale_Manovo-Gounda_St._Floris" TargetMode="External"/><Relationship Id="rId65" Type="http://schemas.openxmlformats.org/officeDocument/2006/relationships/hyperlink" Target="https://it.wikipedia.org/wiki/Elezioni_generali_nella_Repubblica_Centrafricana_del_2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Sieropositivo" TargetMode="External"/><Relationship Id="rId13" Type="http://schemas.openxmlformats.org/officeDocument/2006/relationships/hyperlink" Target="https://it.wikipedia.org/wiki/Cattolico" TargetMode="External"/><Relationship Id="rId18" Type="http://schemas.openxmlformats.org/officeDocument/2006/relationships/hyperlink" Target="https://it.wikipedia.org/wiki/Basse-Kotto" TargetMode="External"/><Relationship Id="rId39" Type="http://schemas.openxmlformats.org/officeDocument/2006/relationships/hyperlink" Target="https://it.wikipedia.org/wiki/Nola_(Repubblica_Centrafricana)" TargetMode="External"/><Relationship Id="rId34" Type="http://schemas.openxmlformats.org/officeDocument/2006/relationships/hyperlink" Target="https://it.wikipedia.org/wiki/Ouham-Pend%C3%A9" TargetMode="External"/><Relationship Id="rId50" Type="http://schemas.openxmlformats.org/officeDocument/2006/relationships/hyperlink" Target="https://it.wikipedia.org/wiki/Corea_del_Sud" TargetMode="External"/><Relationship Id="rId55" Type="http://schemas.openxmlformats.org/officeDocument/2006/relationships/hyperlink" Target="https://it.wikipedia.org/wiki/Maroc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1933</Words>
  <Characters>11021</Characters>
  <Application>Microsoft Office Word</Application>
  <DocSecurity>0</DocSecurity>
  <Lines>91</Lines>
  <Paragraphs>25</Paragraphs>
  <ScaleCrop>false</ScaleCrop>
  <Company/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1</cp:revision>
  <dcterms:created xsi:type="dcterms:W3CDTF">2019-12-12T12:36:00Z</dcterms:created>
  <dcterms:modified xsi:type="dcterms:W3CDTF">2019-12-12T12:46:00Z</dcterms:modified>
</cp:coreProperties>
</file>